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p>
      <w:pPr>
        <w:pStyle w:val="NormalBold"/>
      </w:pPr>
      <w:r>
        <w:t>Forespørgsel til skriftlig besvarelse</w:t>
      </w:r>
      <w:r>
        <w:t xml:space="preserve"> </w:t>
      </w:r>
      <w:r>
        <w:t>E-004652/2025</w:t>
      </w:r>
    </w:p>
    <w:p>
      <w:pPr>
        <w:pStyle w:val="NormalBold"/>
      </w:pPr>
      <w:r>
        <w:t xml:space="preserve">til </w:t>
      </w:r>
      <w:r>
        <w:t>næstformanden for Kommissionen/Unionens højtstående repræsentant for udenrigsanliggender og sikkerhedspolitik</w:t>
      </w:r>
    </w:p>
    <w:p>
      <w:r>
        <w:t>jf. forretningsordenens artikel 144</w:t>
      </w:r>
    </w:p>
    <w:p>
      <w:r>
        <w:rPr>
          <w:b/>
        </w:rPr>
        <w:t>Per Clausen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b/>
        </w:rPr>
        <w:t>Leoluca Orlando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 xml:space="preserve">), </w:t>
      </w:r>
      <w:r>
        <w:rPr>
          <w:b/>
        </w:rPr>
        <w:t>Andreas Schieder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Leila Chaibi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b/>
        </w:rPr>
        <w:t>Hanna Gedin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b/>
        </w:rPr>
        <w:t>Danilo Della Valle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b/>
        </w:rPr>
        <w:t>Kathleen Funchion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b/>
        </w:rPr>
        <w:t>Thijs Reuten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Merja Kyllönen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b/>
        </w:rPr>
        <w:t>Li Andersson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b/>
        </w:rPr>
        <w:t>Jussi Saramo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b/>
        </w:rPr>
        <w:t>Günther Sidl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Elisabeth Grossmann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Matjaž Nemec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Rudi Kennes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b/>
        </w:rPr>
        <w:t>Lynn Boylan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b/>
        </w:rPr>
        <w:t>Sebastian Everding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b/>
        </w:rPr>
        <w:t>Martin Schirdewan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b/>
        </w:rPr>
        <w:t>Özlem Demirel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b/>
        </w:rPr>
        <w:t>Damien Carême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b/>
        </w:rPr>
        <w:t>Anthony Smith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b/>
        </w:rPr>
        <w:t>Manon Aubry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b/>
        </w:rPr>
        <w:t>Emma Fourreau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b/>
        </w:rPr>
        <w:t>Benedetta Scuderi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 xml:space="preserve">), </w:t>
      </w:r>
      <w:r>
        <w:rPr>
          <w:b/>
        </w:rPr>
        <w:t>Mimmo Lucano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b/>
        </w:rPr>
        <w:t>Ilaria Salis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b/>
        </w:rPr>
        <w:t>Pernando Barrena Arza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b/>
        </w:rPr>
        <w:t>Isabel Serra Sánchez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b/>
        </w:rPr>
        <w:t>Diana Riba i Giner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 xml:space="preserve">), </w:t>
      </w:r>
      <w:r>
        <w:rPr>
          <w:b/>
        </w:rPr>
        <w:t>Ana Miranda Paz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 xml:space="preserve">), </w:t>
      </w:r>
      <w:r>
        <w:rPr>
          <w:b/>
        </w:rPr>
        <w:t>Marco Tarquinio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</w:t>
      </w:r>
    </w:p>
    <w:p/>
    <w:p>
      <w:pPr>
        <w:pStyle w:val="QuestionSubject"/>
      </w:pPr>
      <w:r>
        <w:t>Om:</w:t>
        <w:tab/>
      </w:r>
      <w:r>
        <w:t>EU's indsats efter Kurdistans Arbejderpartis nedlæggelse af våben</w:t>
      </w:r>
    </w:p>
    <w:p>
      <w:pPr>
        <w:pStyle w:val="Normal12a"/>
      </w:pPr>
      <w:r>
        <w:t>Da Kurdistans Arbejderparti tidligere på året meddelte, at det nedlagde våbnene for at føre en fredelig kamp, hilste Tjenesten for EU's Optræden Udadtil budskabet velkommen</w:t>
      </w:r>
      <w:r>
        <w:rPr>
          <w:rStyle w:val="FootnoteReference"/>
        </w:rPr>
        <w:footnoteReference w:customMarkFollows="1" w:id="2"/>
        <w:t xml:space="preserve">1</w:t>
      </w:r>
      <w:r>
        <w:t>. EU kan dog gøre mere for at fremme forsoning og en fredelig løsning. Som eksempel kan nævnes, at Det Europæiske Råd i 2017, da Fuerzas Armadas Revolucionarias de Colombia nedlagde våbnene, fjernede dem fra sin liste over terrororganisationer.</w:t>
      </w:r>
    </w:p>
    <w:p>
      <w:pPr>
        <w:pStyle w:val="Normal12a"/>
      </w:pPr>
      <w:r>
        <w:t>Dette rejser spørgsmålet om, hvorvidt denne proces nu bør gentages i forhold til Kurdistans Arbejderparti.</w:t>
      </w:r>
    </w:p>
    <w:p>
      <w:pPr>
        <w:pStyle w:val="Normal12a"/>
      </w:pPr>
      <w:r>
        <w:t>Næstformanden for Kommissionen/Unionens højtstående repræsentant for udenrigsanliggender og sikkerhedspolitik (NF/HR) bedes derfor besvare følgende spørgsmål:</w:t>
      </w:r>
    </w:p>
    <w:p>
      <w:pPr>
        <w:pStyle w:val="NormalHanging12a"/>
      </w:pPr>
      <w:r>
        <w:t>1.</w:t>
      </w:r>
      <w:r>
        <w:tab/>
      </w:r>
      <w:r>
        <w:t>Hvorvidt og hvornår vil NF/HR forelægge Det Europæiske Råd et forslag om at følge forrangen fra Fuerzas Armadas Revolucionarias de Colombias nedlæggelse af våben i 2017 og dermed indlede processen med at fjerne Kurdistans Arbejderparti fra EU's terroristliste?</w:t>
      </w:r>
    </w:p>
    <w:p>
      <w:pPr>
        <w:pStyle w:val="NormalHanging12a"/>
      </w:pPr>
      <w:r>
        <w:t>2.</w:t>
      </w:r>
      <w:r>
        <w:tab/>
      </w:r>
      <w:r>
        <w:t>Hvad agter Tjenesten for EU's Optræden Udadtil ellers at gøre for direkte at støtte en inklusiv fredsproces i Tyrkiet?</w:t>
      </w:r>
    </w:p>
    <w:p>
      <w:pPr>
        <w:pStyle w:val="Normal12a"/>
      </w:pPr>
      <w:r>
        <w:t xml:space="preserve">Indgivet: </w:t>
      </w:r>
      <w:r>
        <w:t>21.11.2025</w:t>
      </w:r>
    </w:p>
    <w:sectPr>
      <w:footerReference w:type="even" r:id="rId5"/>
      <w:footerReference w:type="default" r:id="rId6"/>
      <w:footerReference w:type="first" r:id="rId7"/>
      <w:footnotePr>
        <w:numRestart w:val="eachSect"/>
      </w:footnotePr>
      <w:pgSz w:w="11909" w:h="16834"/>
      <w:pgMar w:top="1134" w:right="1417" w:bottom="1417" w:left="1417" w:header="1134" w:footer="567"/>
      <w:cols w:space="720"/>
      <w:titlePg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PE780.954v01-00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PE780.954v01-00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PE780.954v01-00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ForceStyle"/>
      </w:pPr>
      <w:r>
        <w:rPr>
          <w:vertAlign w:val="superscript"/>
        </w:rPr>
        <w:t>1</w:t>
      </w:r>
      <w:r>
        <w:tab/>
      </w:r>
      <w:r>
        <w:t>https://www.eeas.europa.eu/node/3264_en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footnotePr>
    <w:numRestart w:val="eachSect"/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a-DK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paragraph" w:customStyle="1" w:styleId="NormalHanging12a">
    <w:name w:val="NormalHanging12a"/>
    <w:basedOn w:val="Normal"/>
    <w:pPr>
      <w:widowControl/>
      <w:overflowPunct/>
      <w:spacing w:after="240"/>
      <w:ind w:left="566" w:hanging="566"/>
    </w:pPr>
  </w:style>
  <w:style w:type="paragraph" w:customStyle="1" w:styleId="QuestionSubject">
    <w:name w:val="QuestionSubject"/>
    <w:basedOn w:val="Normal"/>
    <w:pPr>
      <w:widowControl/>
      <w:overflowPunct/>
      <w:spacing w:after="240"/>
      <w:ind w:left="1134" w:hanging="1134"/>
    </w:p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widowControl/>
      <w:spacing w:after="240"/>
      <w:outlineLvl w:val="9"/>
    </w:pPr>
    <w:rPr>
      <w:b/>
      <w:color w:val="2E74B5"/>
      <w:shd w:val="pct50" w:color="auto" w:fill="auto" w:themeColor="accent1" w:themeFill="accent1"/>
    </w:rPr>
  </w:style>
  <w:style w:type="paragraph" w:customStyle="1" w:styleId="FootnoteTextForceStyle">
    <w:name w:val="Footnote Text ForceStyle"/>
    <w:pPr>
      <w:widowControl/>
      <w:tabs>
        <w:tab w:val="left" w:pos="284"/>
      </w:tabs>
      <w:overflowPunct/>
      <w:ind w:left="284" w:hanging="284"/>
    </w:pPr>
  </w:style>
  <w:style w:type="character" w:customStyle="1" w:styleId="Heading1Char">
    <w:name w:val="Heading 1 Char"/>
    <w:rPr>
      <w:rFonts w:ascii="Calibri Light" w:hAnsi="Calibri Light"/>
      <w:b/>
      <w:sz w:val="32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er">
    <w:name w:val="footer"/>
    <w:basedOn w:val="Normal"/>
    <w:rsid w:val="00EF7B96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302</Words>
  <Characters>1879</Characters>
  <Application>Microsoft Office Word</Application>
  <DocSecurity>0</DocSecurity>
  <Lines>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.render.id">
    <vt:lpwstr>297306</vt:lpwstr>
  </property>
  <property fmtid="{D5CDD505-2E9C-101B-9397-08002B2CF9AE}" pid="3" name="dmxml.render.traceId">
    <vt:lpwstr>69296fa5b5de70c46d6b46bffb99397d</vt:lpwstr>
  </property>
  <property fmtid="{D5CDD505-2E9C-101B-9397-08002B2CF9AE}" pid="4" name="Model">
    <vt:lpwstr>QE</vt:lpwstr>
  </property>
  <property fmtid="{D5CDD505-2E9C-101B-9397-08002B2CF9AE}" pid="5" name="Type">
    <vt:lpwstr>QE</vt:lpwstr>
  </property>
</Properties>
</file>