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avec demande de réponse écrite</w:t>
      </w:r>
      <w:r>
        <w:t xml:space="preserve"> </w:t>
      </w:r>
      <w:r>
        <w:t>E-004821/2025</w:t>
      </w:r>
    </w:p>
    <w:p>
      <w:pPr>
        <w:pStyle w:val="NormalBold"/>
      </w:pPr>
      <w:r>
        <w:t xml:space="preserve">à la </w:t>
      </w:r>
      <w:r>
        <w:t>Commission</w:t>
      </w:r>
    </w:p>
    <w:p>
      <w:r>
        <w:t>Article 144 du règlement intérieur</w:t>
      </w:r>
    </w:p>
    <w:p>
      <w:r>
        <w:rPr>
          <w:b/>
        </w:rPr>
        <w:t>Stephen Nikola Bartulica</w:t>
      </w:r>
      <w:r>
        <w:rPr>
          <w:b/>
        </w:rPr>
        <w:t xml:space="preserve"> (</w:t>
      </w:r>
      <w:r>
        <w:rPr>
          <w:b/>
        </w:rPr>
        <w:t>ECR</w:t>
      </w:r>
      <w:r>
        <w:rPr>
          <w:b/>
        </w:rPr>
        <w:t xml:space="preserve">), </w:t>
      </w:r>
      <w:r>
        <w:rPr>
          <w:b/>
        </w:rPr>
        <w:t>Milan Mazurek</w:t>
      </w:r>
      <w:r>
        <w:rPr>
          <w:b/>
        </w:rPr>
        <w:t xml:space="preserve"> (</w:t>
      </w:r>
      <w:r>
        <w:rPr>
          <w:b/>
        </w:rPr>
        <w:t>ESN</w:t>
      </w:r>
      <w:r>
        <w:rPr>
          <w:b/>
        </w:rPr>
        <w:t xml:space="preserve">), </w:t>
      </w:r>
      <w:r>
        <w:rPr>
          <w:b/>
        </w:rPr>
        <w:t>Claudiu-Richard Târziu</w:t>
      </w:r>
      <w:r>
        <w:rPr>
          <w:b/>
        </w:rPr>
        <w:t xml:space="preserve"> (</w:t>
      </w:r>
      <w:r>
        <w:rPr>
          <w:b/>
        </w:rPr>
        <w:t>ECR</w:t>
      </w:r>
      <w:r>
        <w:rPr>
          <w:b/>
        </w:rPr>
        <w:t xml:space="preserve">), </w:t>
      </w:r>
      <w:r>
        <w:rPr>
          <w:b/>
        </w:rPr>
        <w:t>Şerban Dimitrie Sturdza</w:t>
      </w:r>
      <w:r>
        <w:rPr>
          <w:b/>
        </w:rPr>
        <w:t xml:space="preserve"> (</w:t>
      </w:r>
      <w:r>
        <w:rPr>
          <w:b/>
        </w:rPr>
        <w:t>ECR</w:t>
      </w:r>
      <w:r>
        <w:rPr>
          <w:b/>
        </w:rPr>
        <w:t xml:space="preserve">), </w:t>
      </w:r>
      <w:r>
        <w:rPr>
          <w:b/>
        </w:rPr>
        <w:t>Ondřej Knotek</w:t>
      </w:r>
      <w:r>
        <w:rPr>
          <w:b/>
        </w:rPr>
        <w:t xml:space="preserve"> (</w:t>
      </w:r>
      <w:r>
        <w:rPr>
          <w:b/>
        </w:rPr>
        <w:t>PfE</w:t>
      </w:r>
      <w:r>
        <w:rPr>
          <w:b/>
        </w:rPr>
        <w:t xml:space="preserve">), </w:t>
      </w:r>
      <w:r>
        <w:rPr>
          <w:b/>
        </w:rPr>
        <w:t>Adrian-George Axinia</w:t>
      </w:r>
      <w:r>
        <w:rPr>
          <w:b/>
        </w:rPr>
        <w:t xml:space="preserve"> (</w:t>
      </w:r>
      <w:r>
        <w:rPr>
          <w:b/>
        </w:rPr>
        <w:t>ECR</w:t>
      </w:r>
      <w:r>
        <w:rPr>
          <w:b/>
        </w:rPr>
        <w:t xml:space="preserve">), </w:t>
      </w:r>
      <w:r>
        <w:rPr>
          <w:b/>
        </w:rPr>
        <w:t>Milan Uhrík</w:t>
      </w:r>
      <w:r>
        <w:rPr>
          <w:b/>
        </w:rPr>
        <w:t xml:space="preserve"> (</w:t>
      </w:r>
      <w:r>
        <w:rPr>
          <w:b/>
        </w:rPr>
        <w:t>ESN</w:t>
      </w:r>
      <w:r>
        <w:rPr>
          <w:b/>
        </w:rPr>
        <w:t xml:space="preserve">), </w:t>
      </w:r>
      <w:r>
        <w:rPr>
          <w:b/>
        </w:rPr>
        <w:t>Nora Junco García</w:t>
      </w:r>
      <w:r>
        <w:rPr>
          <w:b/>
        </w:rPr>
        <w:t xml:space="preserve"> (</w:t>
      </w:r>
      <w:r>
        <w:rPr>
          <w:b/>
        </w:rPr>
        <w:t>ECR</w:t>
      </w:r>
      <w:r>
        <w:rPr>
          <w:b/>
        </w:rPr>
        <w:t xml:space="preserve">), </w:t>
      </w:r>
      <w:r>
        <w:rPr>
          <w:b/>
        </w:rPr>
        <w:t>Diego Solier</w:t>
      </w:r>
      <w:r>
        <w:rPr>
          <w:b/>
        </w:rPr>
        <w:t xml:space="preserve"> (</w:t>
      </w:r>
      <w:r>
        <w:rPr>
          <w:b/>
        </w:rPr>
        <w:t>ECR</w:t>
      </w:r>
      <w:r>
        <w:rPr>
          <w:b/>
        </w:rPr>
        <w:t xml:space="preserve">), </w:t>
      </w:r>
      <w:r>
        <w:rPr>
          <w:b/>
        </w:rPr>
        <w:t>Petra Steger</w:t>
      </w:r>
      <w:r>
        <w:rPr>
          <w:b/>
        </w:rPr>
        <w:t xml:space="preserve"> (</w:t>
      </w:r>
      <w:r>
        <w:rPr>
          <w:b/>
        </w:rPr>
        <w:t>PfE</w:t>
      </w:r>
      <w:r>
        <w:rPr>
          <w:b/>
        </w:rPr>
        <w:t xml:space="preserve">), </w:t>
      </w:r>
      <w:r>
        <w:rPr>
          <w:b/>
        </w:rPr>
        <w:t>Marc Jongen</w:t>
      </w:r>
      <w:r>
        <w:rPr>
          <w:b/>
        </w:rPr>
        <w:t xml:space="preserve"> (</w:t>
      </w:r>
      <w:r>
        <w:rPr>
          <w:b/>
        </w:rPr>
        <w:t>ESN</w:t>
      </w:r>
      <w:r>
        <w:rPr>
          <w:b/>
        </w:rPr>
        <w:t xml:space="preserve">), </w:t>
      </w:r>
      <w:r>
        <w:rPr>
          <w:b/>
        </w:rPr>
        <w:t>Daniel Obajtek</w:t>
      </w:r>
      <w:r>
        <w:rPr>
          <w:b/>
        </w:rPr>
        <w:t xml:space="preserve"> (</w:t>
      </w:r>
      <w:r>
        <w:rPr>
          <w:b/>
        </w:rPr>
        <w:t>ECR</w:t>
      </w:r>
      <w:r>
        <w:rPr>
          <w:b/>
        </w:rPr>
        <w:t xml:space="preserve">), </w:t>
      </w:r>
      <w:r>
        <w:rPr>
          <w:b/>
        </w:rPr>
        <w:t>Jadwiga Wiśniewska</w:t>
      </w:r>
      <w:r>
        <w:rPr>
          <w:b/>
        </w:rPr>
        <w:t xml:space="preserve"> (</w:t>
      </w:r>
      <w:r>
        <w:rPr>
          <w:b/>
        </w:rPr>
        <w:t>ECR</w:t>
      </w:r>
      <w:r>
        <w:rPr>
          <w:b/>
        </w:rPr>
        <w:t xml:space="preserve">), </w:t>
      </w:r>
      <w:r>
        <w:rPr>
          <w:b/>
        </w:rPr>
        <w:t>Nicolas Bay</w:t>
      </w:r>
      <w:r>
        <w:rPr>
          <w:b/>
        </w:rPr>
        <w:t xml:space="preserve"> (</w:t>
      </w:r>
      <w:r>
        <w:rPr>
          <w:b/>
        </w:rPr>
        <w:t>ECR</w:t>
      </w:r>
      <w:r>
        <w:rPr>
          <w:b/>
        </w:rPr>
        <w:t xml:space="preserve">), </w:t>
      </w:r>
      <w:r>
        <w:rPr>
          <w:b/>
        </w:rPr>
        <w:t>Alexandre Varaut</w:t>
      </w:r>
      <w:r>
        <w:rPr>
          <w:b/>
        </w:rPr>
        <w:t xml:space="preserve"> (</w:t>
      </w:r>
      <w:r>
        <w:rPr>
          <w:b/>
        </w:rPr>
        <w:t>PfE</w:t>
      </w:r>
      <w:r>
        <w:rPr>
          <w:b/>
        </w:rPr>
        <w:t xml:space="preserve">), </w:t>
      </w:r>
      <w:r>
        <w:rPr>
          <w:b/>
        </w:rPr>
        <w:t>Marlena Maląg</w:t>
      </w:r>
      <w:r>
        <w:rPr>
          <w:b/>
        </w:rPr>
        <w:t xml:space="preserve"> (</w:t>
      </w:r>
      <w:r>
        <w:rPr>
          <w:b/>
        </w:rPr>
        <w:t>ECR</w:t>
      </w:r>
      <w:r>
        <w:rPr>
          <w:b/>
        </w:rPr>
        <w:t xml:space="preserve">), </w:t>
      </w:r>
      <w:r>
        <w:rPr>
          <w:b/>
        </w:rPr>
        <w:t>Roman Haider</w:t>
      </w:r>
      <w:r>
        <w:rPr>
          <w:b/>
        </w:rPr>
        <w:t xml:space="preserve"> (</w:t>
      </w:r>
      <w:r>
        <w:rPr>
          <w:b/>
        </w:rPr>
        <w:t>PfE</w:t>
      </w:r>
      <w:r>
        <w:rPr>
          <w:b/>
        </w:rPr>
        <w:t xml:space="preserve">), </w:t>
      </w:r>
      <w:r>
        <w:rPr>
          <w:b/>
        </w:rPr>
        <w:t>Dominik Tarczyński</w:t>
      </w:r>
      <w:r>
        <w:rPr>
          <w:b/>
        </w:rPr>
        <w:t xml:space="preserve"> (</w:t>
      </w:r>
      <w:r>
        <w:rPr>
          <w:b/>
        </w:rPr>
        <w:t>ECR</w:t>
      </w:r>
      <w:r>
        <w:rPr>
          <w:b/>
        </w:rPr>
        <w:t xml:space="preserve">), </w:t>
      </w:r>
      <w:r>
        <w:rPr>
          <w:b/>
        </w:rPr>
        <w:t>Marion Maréchal</w:t>
      </w:r>
      <w:r>
        <w:rPr>
          <w:b/>
        </w:rPr>
        <w:t xml:space="preserve"> (</w:t>
      </w:r>
      <w:r>
        <w:rPr>
          <w:b/>
        </w:rPr>
        <w:t>ECR</w:t>
      </w:r>
      <w:r>
        <w:rPr>
          <w:b/>
        </w:rPr>
        <w:t xml:space="preserve">), </w:t>
      </w:r>
      <w:r>
        <w:rPr>
          <w:b/>
        </w:rPr>
        <w:t>Gheorghe Piperea</w:t>
      </w:r>
      <w:r>
        <w:rPr>
          <w:b/>
        </w:rPr>
        <w:t xml:space="preserve"> (</w:t>
      </w:r>
      <w:r>
        <w:rPr>
          <w:b/>
        </w:rPr>
        <w:t>ECR</w:t>
      </w:r>
      <w:r>
        <w:rPr>
          <w:b/>
        </w:rPr>
        <w:t xml:space="preserve">), </w:t>
      </w:r>
      <w:r>
        <w:rPr>
          <w:b/>
        </w:rPr>
        <w:t>Irmhild Boßdorf</w:t>
      </w:r>
      <w:r>
        <w:rPr>
          <w:b/>
        </w:rPr>
        <w:t xml:space="preserve"> (</w:t>
      </w:r>
      <w:r>
        <w:rPr>
          <w:b/>
        </w:rPr>
        <w:t>ESN</w:t>
      </w:r>
      <w:r>
        <w:rPr>
          <w:b/>
        </w:rPr>
        <w:t xml:space="preserve">), </w:t>
      </w:r>
      <w:r>
        <w:rPr>
          <w:b/>
        </w:rPr>
        <w:t>Laurence Trochu</w:t>
      </w:r>
      <w:r>
        <w:rPr>
          <w:b/>
        </w:rPr>
        <w:t xml:space="preserve"> (</w:t>
      </w:r>
      <w:r>
        <w:rPr>
          <w:b/>
        </w:rPr>
        <w:t>ECR</w:t>
      </w:r>
      <w:r>
        <w:rPr>
          <w:b/>
        </w:rPr>
        <w:t xml:space="preserve">), </w:t>
      </w:r>
      <w:r>
        <w:rPr>
          <w:b/>
        </w:rPr>
        <w:t>Bert-Jan Ruissen</w:t>
      </w:r>
      <w:r>
        <w:rPr>
          <w:b/>
        </w:rPr>
        <w:t xml:space="preserve"> (</w:t>
      </w:r>
      <w:r>
        <w:rPr>
          <w:b/>
        </w:rPr>
        <w:t>ECR</w:t>
      </w:r>
      <w:r>
        <w:rPr>
          <w:b/>
        </w:rPr>
        <w:t xml:space="preserve">), </w:t>
      </w:r>
      <w:r>
        <w:rPr>
          <w:b/>
        </w:rPr>
        <w:t>Branko Grims</w:t>
      </w:r>
      <w:r>
        <w:rPr>
          <w:b/>
        </w:rPr>
        <w:t xml:space="preserve"> (</w:t>
      </w:r>
      <w:r>
        <w:rPr>
          <w:b/>
        </w:rPr>
        <w:t>PPE</w:t>
      </w:r>
      <w:r>
        <w:rPr>
          <w:b/>
        </w:rPr>
        <w:t xml:space="preserve">), </w:t>
      </w:r>
      <w:r>
        <w:rPr>
          <w:b/>
        </w:rPr>
        <w:t>Antonín Staněk</w:t>
      </w:r>
      <w:r>
        <w:rPr>
          <w:b/>
        </w:rPr>
        <w:t xml:space="preserve"> (</w:t>
      </w:r>
      <w:r>
        <w:rPr>
          <w:b/>
        </w:rPr>
        <w:t>PfE</w:t>
      </w:r>
      <w:r>
        <w:rPr>
          <w:b/>
        </w:rPr>
        <w:t xml:space="preserve">), </w:t>
      </w:r>
      <w:r>
        <w:rPr>
          <w:b/>
        </w:rPr>
        <w:t>Waldemar Tomaszewski</w:t>
      </w:r>
      <w:r>
        <w:rPr>
          <w:b/>
        </w:rPr>
        <w:t xml:space="preserve"> (</w:t>
      </w:r>
      <w:r>
        <w:rPr>
          <w:b/>
        </w:rPr>
        <w:t>ECR</w:t>
      </w:r>
      <w:r>
        <w:rPr>
          <w:b/>
        </w:rPr>
        <w:t xml:space="preserve">), </w:t>
      </w:r>
      <w:r>
        <w:rPr>
          <w:b/>
        </w:rPr>
        <w:t>Ivaylo Valchev</w:t>
      </w:r>
      <w:r>
        <w:rPr>
          <w:b/>
        </w:rPr>
        <w:t xml:space="preserve"> (</w:t>
      </w:r>
      <w:r>
        <w:rPr>
          <w:b/>
        </w:rPr>
        <w:t>ECR</w:t>
      </w:r>
      <w:r>
        <w:rPr>
          <w:b/>
        </w:rPr>
        <w:t>)</w:t>
      </w:r>
    </w:p>
    <w:p/>
    <w:p>
      <w:pPr>
        <w:pStyle w:val="QuestionSubject"/>
      </w:pPr>
      <w:r>
        <w:t>Objet:</w:t>
        <w:tab/>
      </w:r>
      <w:r>
        <w:t>Stratégie en faveur de l’égalité de traitement à l’égard des personnes LGBTIQ+ pour la période 2026-2030</w:t>
      </w:r>
    </w:p>
    <w:p>
      <w:pPr>
        <w:pStyle w:val="Normal12a"/>
      </w:pPr>
      <w:r>
        <w:t>La Commission a récemment publié sa stratégie en faveur de l’égalité de traitement à l’égard des personnes LGBTQI+ pour la période 2026-2030. Si la Commission affirme que cette stratégie s’appuie sur les résultats du plan 2020-2025, elle semble étendre considérablement l’intervention de l’Union dans des domaines traditionnellement du ressort des États membres, notamment l’éducation, la politique de santé et le droit de la famille.</w:t>
      </w:r>
    </w:p>
    <w:p>
      <w:pPr>
        <w:pStyle w:val="Normal12a"/>
      </w:pPr>
      <w:r>
        <w:t>Cette expansion suscite des inquiétudes légitimes concernant les principes de subsidiarité et de proportionnalité, ainsi que l’utilisation des fonds européens pour des initiatives qui pourraient ne pas refléter la diversité des traditions sociales et constitutionnelles au sein de l’Union.</w:t>
      </w:r>
    </w:p>
    <w:p>
      <w:pPr>
        <w:pStyle w:val="NormalHanging12a"/>
      </w:pPr>
      <w:r>
        <w:t>1.</w:t>
      </w:r>
      <w:r>
        <w:tab/>
      </w:r>
      <w:r>
        <w:t>Comment la Commission justifie-t-elle l’élargissement de son champ d’action à des domaines tels que l’éducation, la santé et le droit de la famille, alors que les traités réservent clairement ces compétences aux États membres?</w:t>
      </w:r>
    </w:p>
    <w:p>
      <w:pPr>
        <w:pStyle w:val="NormalHanging12a"/>
      </w:pPr>
      <w:r>
        <w:t>2.</w:t>
      </w:r>
      <w:r>
        <w:tab/>
      </w:r>
      <w:r>
        <w:t>Quelle évaluation a été réalisée sur l’impact social, financier et pratique de la stratégie 2020-2025, et comment les nouvelles initiatives garantiront-elles le respect des traditions constitutionnelles nationales, des droits parentaux, ainsi que des principes de subsidiarité et de proportionnalité?</w:t>
      </w:r>
    </w:p>
    <w:p>
      <w:pPr>
        <w:pStyle w:val="NormalHanging12a"/>
      </w:pPr>
      <w:r>
        <w:t>3.</w:t>
      </w:r>
      <w:r>
        <w:tab/>
      </w:r>
      <w:r>
        <w:t>Compte tenu des signalements persistants de discrimination fondée sur d’autres critères (tels que la religion, le handicap et l’âge), pourquoi la Commission privilégie-t-elle des cadres supplémentaires basés sur l’identité au lieu de se concentrer sur une approche unifiée et égalitaire de lutte contre la discrimination pour tous les citoyens de l’Union?</w:t>
      </w:r>
    </w:p>
    <w:p>
      <w:pPr>
        <w:pStyle w:val="Normal12a"/>
      </w:pPr>
      <w:r>
        <w:t>Soutiens</w:t>
      </w:r>
      <w:r>
        <w:rPr>
          <w:rStyle w:val="FootnoteReference"/>
        </w:rPr>
        <w:footnoteReference w:customMarkFollows="1" w:id="2"/>
        <w:t xml:space="preserve">1</w:t>
      </w:r>
    </w:p>
    <w:p>
      <w:pPr>
        <w:pStyle w:val="Normal12a"/>
      </w:pPr>
      <w:r>
        <w:t xml:space="preserve">Dépôt: </w:t>
      </w:r>
      <w:r>
        <w:t>4.12.2025</w:t>
      </w:r>
    </w:p>
    <w:sectPr>
      <w:footerReference w:type="even" r:id="rId5"/>
      <w:footerReference w:type="default" r:id="rId6"/>
      <w:footerReference w:type="first" r:id="rId7"/>
      <w:footnotePr>
        <w:numRestart w:val="eachSect"/>
      </w:footnotePr>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PE781.771v01-00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PE781.771v01-00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PE781.771v01-00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ForceStyle"/>
      </w:pPr>
      <w:r>
        <w:rPr>
          <w:vertAlign w:val="superscript"/>
        </w:rPr>
        <w:t>1</w:t>
      </w:r>
      <w:r>
        <w:tab/>
      </w:r>
      <w:r>
        <w:t>Cette question est soutenue par d’autres députés que ses auteurs</w:t>
      </w:r>
      <w:r>
        <w:t xml:space="preserve">: </w:t>
      </w:r>
      <w:r>
        <w:t>Paolo Inselvini</w:t>
      </w:r>
      <w:r>
        <w:t xml:space="preserve"> (</w:t>
      </w:r>
      <w:r>
        <w:t>ECR</w:t>
      </w:r>
      <w:r>
        <w:t xml:space="preserve">), </w:t>
      </w:r>
      <w:r>
        <w:t>Mathilde Androuët</w:t>
      </w:r>
      <w:r>
        <w:t xml:space="preserve"> (</w:t>
      </w:r>
      <w:r>
        <w:t>PfE</w:t>
      </w:r>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character" w:customStyle="1" w:styleId="HideTWBInt">
    <w:name w:val="HideTWBInt"/>
    <w:rPr>
      <w:rFonts w:ascii="Arial" w:eastAsia="Arial" w:hAnsi="Arial" w:cs="Arial"/>
      <w:vanish/>
      <w:color w:val="808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paragraph" w:customStyle="1" w:styleId="FootnoteTextForceStyle">
    <w:name w:val="Footnote Text ForceStyle"/>
    <w:pPr>
      <w:widowControl/>
      <w:tabs>
        <w:tab w:val="left" w:pos="284"/>
      </w:tabs>
      <w:overflowPunct/>
      <w:ind w:left="284" w:hanging="284"/>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349</Words>
  <Characters>2144</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309074</vt:lpwstr>
  </property>
  <property fmtid="{D5CDD505-2E9C-101B-9397-08002B2CF9AE}" pid="3" name="dmxml.render.traceId">
    <vt:lpwstr>693bf9d23926ab4d3695cc7fd4111bc0</vt:lpwstr>
  </property>
  <property fmtid="{D5CDD505-2E9C-101B-9397-08002B2CF9AE}" pid="4" name="Model">
    <vt:lpwstr>QE</vt:lpwstr>
  </property>
  <property fmtid="{D5CDD505-2E9C-101B-9397-08002B2CF9AE}" pid="5" name="Type">
    <vt:lpwstr>QE</vt:lpwstr>
  </property>
</Properties>
</file>