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Vraag met verzoek om schriftelijk antwoord</w:t>
      </w:r>
      <w:r>
        <w:t xml:space="preserve"> </w:t>
      </w:r>
      <w:r>
        <w:t>E-004821/2025</w:t>
      </w:r>
    </w:p>
    <w:p>
      <w:pPr>
        <w:pStyle w:val="NormalBold"/>
      </w:pPr>
      <w:r>
        <w:t xml:space="preserve">aan de </w:t>
      </w:r>
      <w:r>
        <w:t>Commissie</w:t>
      </w:r>
    </w:p>
    <w:p>
      <w:r>
        <w:t>Artikel 144 van het Reglement</w:t>
      </w:r>
    </w:p>
    <w:p>
      <w:r>
        <w:rPr>
          <w:b/>
        </w:rPr>
        <w:t>Stephen Nikola Bartulica</w:t>
      </w:r>
      <w:r>
        <w:rPr>
          <w:b/>
        </w:rPr>
        <w:t xml:space="preserve"> (</w:t>
      </w:r>
      <w:r>
        <w:rPr>
          <w:b/>
        </w:rPr>
        <w:t>ECR</w:t>
      </w:r>
      <w:r>
        <w:rPr>
          <w:b/>
        </w:rPr>
        <w:t xml:space="preserve">), </w:t>
      </w:r>
      <w:r>
        <w:rPr>
          <w:b/>
        </w:rPr>
        <w:t>Milan Mazurek</w:t>
      </w:r>
      <w:r>
        <w:rPr>
          <w:b/>
        </w:rPr>
        <w:t xml:space="preserve"> (</w:t>
      </w:r>
      <w:r>
        <w:rPr>
          <w:b/>
        </w:rPr>
        <w:t>ESN</w:t>
      </w:r>
      <w:r>
        <w:rPr>
          <w:b/>
        </w:rPr>
        <w:t xml:space="preserve">), </w:t>
      </w:r>
      <w:r>
        <w:rPr>
          <w:b/>
        </w:rPr>
        <w:t>Claudiu-Richard Târziu</w:t>
      </w:r>
      <w:r>
        <w:rPr>
          <w:b/>
        </w:rPr>
        <w:t xml:space="preserve"> (</w:t>
      </w:r>
      <w:r>
        <w:rPr>
          <w:b/>
        </w:rPr>
        <w:t>ECR</w:t>
      </w:r>
      <w:r>
        <w:rPr>
          <w:b/>
        </w:rPr>
        <w:t xml:space="preserve">), </w:t>
      </w:r>
      <w:r>
        <w:rPr>
          <w:b/>
        </w:rPr>
        <w:t>Şerban Dimitrie Sturdza</w:t>
      </w:r>
      <w:r>
        <w:rPr>
          <w:b/>
        </w:rPr>
        <w:t xml:space="preserve"> (</w:t>
      </w:r>
      <w:r>
        <w:rPr>
          <w:b/>
        </w:rPr>
        <w:t>ECR</w:t>
      </w:r>
      <w:r>
        <w:rPr>
          <w:b/>
        </w:rPr>
        <w:t xml:space="preserve">), </w:t>
      </w:r>
      <w:r>
        <w:rPr>
          <w:b/>
        </w:rPr>
        <w:t>Ondřej Knotek</w:t>
      </w:r>
      <w:r>
        <w:rPr>
          <w:b/>
        </w:rPr>
        <w:t xml:space="preserve"> (</w:t>
      </w:r>
      <w:r>
        <w:rPr>
          <w:b/>
        </w:rPr>
        <w:t>PfE</w:t>
      </w:r>
      <w:r>
        <w:rPr>
          <w:b/>
        </w:rPr>
        <w:t xml:space="preserve">), </w:t>
      </w:r>
      <w:r>
        <w:rPr>
          <w:b/>
        </w:rPr>
        <w:t>Adrian-George Axinia</w:t>
      </w:r>
      <w:r>
        <w:rPr>
          <w:b/>
        </w:rPr>
        <w:t xml:space="preserve"> (</w:t>
      </w:r>
      <w:r>
        <w:rPr>
          <w:b/>
        </w:rPr>
        <w:t>ECR</w:t>
      </w:r>
      <w:r>
        <w:rPr>
          <w:b/>
        </w:rPr>
        <w:t xml:space="preserve">), </w:t>
      </w:r>
      <w:r>
        <w:rPr>
          <w:b/>
        </w:rPr>
        <w:t>Milan Uhrík</w:t>
      </w:r>
      <w:r>
        <w:rPr>
          <w:b/>
        </w:rPr>
        <w:t xml:space="preserve"> (</w:t>
      </w:r>
      <w:r>
        <w:rPr>
          <w:b/>
        </w:rPr>
        <w:t>ESN</w:t>
      </w:r>
      <w:r>
        <w:rPr>
          <w:b/>
        </w:rPr>
        <w:t xml:space="preserve">), </w:t>
      </w:r>
      <w:r>
        <w:rPr>
          <w:b/>
        </w:rPr>
        <w:t>Nora Junco García</w:t>
      </w:r>
      <w:r>
        <w:rPr>
          <w:b/>
        </w:rPr>
        <w:t xml:space="preserve"> (</w:t>
      </w:r>
      <w:r>
        <w:rPr>
          <w:b/>
        </w:rPr>
        <w:t>ECR</w:t>
      </w:r>
      <w:r>
        <w:rPr>
          <w:b/>
        </w:rPr>
        <w:t xml:space="preserve">), </w:t>
      </w:r>
      <w:r>
        <w:rPr>
          <w:b/>
        </w:rPr>
        <w:t>Diego Solier</w:t>
      </w:r>
      <w:r>
        <w:rPr>
          <w:b/>
        </w:rPr>
        <w:t xml:space="preserve"> (</w:t>
      </w:r>
      <w:r>
        <w:rPr>
          <w:b/>
        </w:rPr>
        <w:t>ECR</w:t>
      </w:r>
      <w:r>
        <w:rPr>
          <w:b/>
        </w:rPr>
        <w:t xml:space="preserve">), </w:t>
      </w:r>
      <w:r>
        <w:rPr>
          <w:b/>
        </w:rPr>
        <w:t>Petra Steger</w:t>
      </w:r>
      <w:r>
        <w:rPr>
          <w:b/>
        </w:rPr>
        <w:t xml:space="preserve"> (</w:t>
      </w:r>
      <w:r>
        <w:rPr>
          <w:b/>
        </w:rPr>
        <w:t>PfE</w:t>
      </w:r>
      <w:r>
        <w:rPr>
          <w:b/>
        </w:rPr>
        <w:t xml:space="preserve">), </w:t>
      </w:r>
      <w:r>
        <w:rPr>
          <w:b/>
        </w:rPr>
        <w:t>Marc Jongen</w:t>
      </w:r>
      <w:r>
        <w:rPr>
          <w:b/>
        </w:rPr>
        <w:t xml:space="preserve"> (</w:t>
      </w:r>
      <w:r>
        <w:rPr>
          <w:b/>
        </w:rPr>
        <w:t>ESN</w:t>
      </w:r>
      <w:r>
        <w:rPr>
          <w:b/>
        </w:rPr>
        <w:t xml:space="preserve">), </w:t>
      </w:r>
      <w:r>
        <w:rPr>
          <w:b/>
        </w:rPr>
        <w:t>Daniel Obajtek</w:t>
      </w:r>
      <w:r>
        <w:rPr>
          <w:b/>
        </w:rPr>
        <w:t xml:space="preserve"> (</w:t>
      </w:r>
      <w:r>
        <w:rPr>
          <w:b/>
        </w:rPr>
        <w:t>ECR</w:t>
      </w:r>
      <w:r>
        <w:rPr>
          <w:b/>
        </w:rPr>
        <w:t xml:space="preserve">), </w:t>
      </w:r>
      <w:r>
        <w:rPr>
          <w:b/>
        </w:rPr>
        <w:t>Jadwiga Wiśniewska</w:t>
      </w:r>
      <w:r>
        <w:rPr>
          <w:b/>
        </w:rPr>
        <w:t xml:space="preserve"> (</w:t>
      </w:r>
      <w:r>
        <w:rPr>
          <w:b/>
        </w:rPr>
        <w:t>ECR</w:t>
      </w:r>
      <w:r>
        <w:rPr>
          <w:b/>
        </w:rPr>
        <w:t xml:space="preserve">), </w:t>
      </w:r>
      <w:r>
        <w:rPr>
          <w:b/>
        </w:rPr>
        <w:t>Nicolas Bay</w:t>
      </w:r>
      <w:r>
        <w:rPr>
          <w:b/>
        </w:rPr>
        <w:t xml:space="preserve"> (</w:t>
      </w:r>
      <w:r>
        <w:rPr>
          <w:b/>
        </w:rPr>
        <w:t>ECR</w:t>
      </w:r>
      <w:r>
        <w:rPr>
          <w:b/>
        </w:rPr>
        <w:t xml:space="preserve">), </w:t>
      </w:r>
      <w:r>
        <w:rPr>
          <w:b/>
        </w:rPr>
        <w:t>Alexandre Varaut</w:t>
      </w:r>
      <w:r>
        <w:rPr>
          <w:b/>
        </w:rPr>
        <w:t xml:space="preserve"> (</w:t>
      </w:r>
      <w:r>
        <w:rPr>
          <w:b/>
        </w:rPr>
        <w:t>PfE</w:t>
      </w:r>
      <w:r>
        <w:rPr>
          <w:b/>
        </w:rPr>
        <w:t xml:space="preserve">), </w:t>
      </w:r>
      <w:r>
        <w:rPr>
          <w:b/>
        </w:rPr>
        <w:t>Marlena Maląg</w:t>
      </w:r>
      <w:r>
        <w:rPr>
          <w:b/>
        </w:rPr>
        <w:t xml:space="preserve"> (</w:t>
      </w:r>
      <w:r>
        <w:rPr>
          <w:b/>
        </w:rPr>
        <w:t>ECR</w:t>
      </w:r>
      <w:r>
        <w:rPr>
          <w:b/>
        </w:rPr>
        <w:t xml:space="preserve">), </w:t>
      </w:r>
      <w:r>
        <w:rPr>
          <w:b/>
        </w:rPr>
        <w:t>Roman Haider</w:t>
      </w:r>
      <w:r>
        <w:rPr>
          <w:b/>
        </w:rPr>
        <w:t xml:space="preserve"> (</w:t>
      </w:r>
      <w:r>
        <w:rPr>
          <w:b/>
        </w:rPr>
        <w:t>PfE</w:t>
      </w:r>
      <w:r>
        <w:rPr>
          <w:b/>
        </w:rPr>
        <w:t xml:space="preserve">), </w:t>
      </w:r>
      <w:r>
        <w:rPr>
          <w:b/>
        </w:rPr>
        <w:t>Dominik Tarczyński</w:t>
      </w:r>
      <w:r>
        <w:rPr>
          <w:b/>
        </w:rPr>
        <w:t xml:space="preserve"> (</w:t>
      </w:r>
      <w:r>
        <w:rPr>
          <w:b/>
        </w:rPr>
        <w:t>ECR</w:t>
      </w:r>
      <w:r>
        <w:rPr>
          <w:b/>
        </w:rPr>
        <w:t xml:space="preserve">), </w:t>
      </w:r>
      <w:r>
        <w:rPr>
          <w:b/>
        </w:rPr>
        <w:t>Marion Maréchal</w:t>
      </w:r>
      <w:r>
        <w:rPr>
          <w:b/>
        </w:rPr>
        <w:t xml:space="preserve"> (</w:t>
      </w:r>
      <w:r>
        <w:rPr>
          <w:b/>
        </w:rPr>
        <w:t>ECR</w:t>
      </w:r>
      <w:r>
        <w:rPr>
          <w:b/>
        </w:rPr>
        <w:t xml:space="preserve">), </w:t>
      </w:r>
      <w:r>
        <w:rPr>
          <w:b/>
        </w:rPr>
        <w:t>Gheorghe Piperea</w:t>
      </w:r>
      <w:r>
        <w:rPr>
          <w:b/>
        </w:rPr>
        <w:t xml:space="preserve"> (</w:t>
      </w:r>
      <w:r>
        <w:rPr>
          <w:b/>
        </w:rPr>
        <w:t>ECR</w:t>
      </w:r>
      <w:r>
        <w:rPr>
          <w:b/>
        </w:rPr>
        <w:t xml:space="preserve">), </w:t>
      </w:r>
      <w:r>
        <w:rPr>
          <w:b/>
        </w:rPr>
        <w:t>Irmhild Boßdorf</w:t>
      </w:r>
      <w:r>
        <w:rPr>
          <w:b/>
        </w:rPr>
        <w:t xml:space="preserve"> (</w:t>
      </w:r>
      <w:r>
        <w:rPr>
          <w:b/>
        </w:rPr>
        <w:t>ESN</w:t>
      </w:r>
      <w:r>
        <w:rPr>
          <w:b/>
        </w:rPr>
        <w:t xml:space="preserve">), </w:t>
      </w:r>
      <w:r>
        <w:rPr>
          <w:b/>
        </w:rPr>
        <w:t>Laurence Trochu</w:t>
      </w:r>
      <w:r>
        <w:rPr>
          <w:b/>
        </w:rPr>
        <w:t xml:space="preserve"> (</w:t>
      </w:r>
      <w:r>
        <w:rPr>
          <w:b/>
        </w:rPr>
        <w:t>ECR</w:t>
      </w:r>
      <w:r>
        <w:rPr>
          <w:b/>
        </w:rPr>
        <w:t xml:space="preserve">), </w:t>
      </w:r>
      <w:r>
        <w:rPr>
          <w:b/>
        </w:rPr>
        <w:t>Bert-Jan Ruissen</w:t>
      </w:r>
      <w:r>
        <w:rPr>
          <w:b/>
        </w:rPr>
        <w:t xml:space="preserve"> (</w:t>
      </w:r>
      <w:r>
        <w:rPr>
          <w:b/>
        </w:rPr>
        <w:t>ECR</w:t>
      </w:r>
      <w:r>
        <w:rPr>
          <w:b/>
        </w:rPr>
        <w:t xml:space="preserve">), </w:t>
      </w:r>
      <w:r>
        <w:rPr>
          <w:b/>
        </w:rPr>
        <w:t>Branko Grims</w:t>
      </w:r>
      <w:r>
        <w:rPr>
          <w:b/>
        </w:rPr>
        <w:t xml:space="preserve"> (</w:t>
      </w:r>
      <w:r>
        <w:rPr>
          <w:b/>
        </w:rPr>
        <w:t>PPE</w:t>
      </w:r>
      <w:r>
        <w:rPr>
          <w:b/>
        </w:rPr>
        <w:t xml:space="preserve">), </w:t>
      </w:r>
      <w:r>
        <w:rPr>
          <w:b/>
        </w:rPr>
        <w:t>Antonín Staněk</w:t>
      </w:r>
      <w:r>
        <w:rPr>
          <w:b/>
        </w:rPr>
        <w:t xml:space="preserve"> (</w:t>
      </w:r>
      <w:r>
        <w:rPr>
          <w:b/>
        </w:rPr>
        <w:t>PfE</w:t>
      </w:r>
      <w:r>
        <w:rPr>
          <w:b/>
        </w:rPr>
        <w:t xml:space="preserve">), </w:t>
      </w:r>
      <w:r>
        <w:rPr>
          <w:b/>
        </w:rPr>
        <w:t>Waldemar Tomaszewski</w:t>
      </w:r>
      <w:r>
        <w:rPr>
          <w:b/>
        </w:rPr>
        <w:t xml:space="preserve"> (</w:t>
      </w:r>
      <w:r>
        <w:rPr>
          <w:b/>
        </w:rPr>
        <w:t>ECR</w:t>
      </w:r>
      <w:r>
        <w:rPr>
          <w:b/>
        </w:rPr>
        <w:t xml:space="preserve">), </w:t>
      </w:r>
      <w:r>
        <w:rPr>
          <w:b/>
        </w:rPr>
        <w:t>Ivaylo Valchev</w:t>
      </w:r>
      <w:r>
        <w:rPr>
          <w:b/>
        </w:rPr>
        <w:t xml:space="preserve"> (</w:t>
      </w:r>
      <w:r>
        <w:rPr>
          <w:b/>
        </w:rPr>
        <w:t>ECR</w:t>
      </w:r>
      <w:r>
        <w:rPr>
          <w:b/>
        </w:rPr>
        <w:t>)</w:t>
      </w:r>
    </w:p>
    <w:p/>
    <w:p>
      <w:pPr>
        <w:pStyle w:val="QuestionSubject"/>
      </w:pPr>
      <w:r>
        <w:t>Betreft:</w:t>
        <w:tab/>
      </w:r>
      <w:r>
        <w:t>De strategie voor gelijkheid van lhbtiq+’ers 2026‑2030</w:t>
      </w:r>
    </w:p>
    <w:p>
      <w:pPr>
        <w:pStyle w:val="Normal12a"/>
      </w:pPr>
      <w:r>
        <w:t>De Commissie heeft onlangs haar nieuwe strategie voor gelijkheid van lhbtiq+’ers voor 2026‑2030 gepresenteerd. Hoewel de Commissie stelt dat deze strategie voortbouwt op de resultaten van de strategie 2020‑2025, lijkt zij de betrokkenheid van de EU aanzienlijk te verruimen op gebieden die traditioneel aan de lidstaten zijn voorbehouden, waaronder onderwijs, gezondheidsbeleid en familierecht.</w:t>
      </w:r>
    </w:p>
    <w:p>
      <w:pPr>
        <w:pStyle w:val="Normal12a"/>
      </w:pPr>
      <w:r>
        <w:t>Dit geeft aanleiding tot legitieme bezorgdheid over subsidiariteit en evenredigheid, alsook over het gebruik van EU-middelen voor initiatieven die de uiteenlopende sociale en constitutionele tradities in de EU mogelijk niet weerspiegelen.</w:t>
      </w:r>
    </w:p>
    <w:p>
      <w:pPr>
        <w:pStyle w:val="NormalHanging12a"/>
      </w:pPr>
      <w:r>
        <w:t>1.</w:t>
      </w:r>
      <w:r>
        <w:tab/>
      </w:r>
      <w:r>
        <w:t>Hoe rechtvaardigt de Commissie de verruiming van haar beleidsbereik tot gebieden als onderwijs, gezondheidsbeleid en familierecht terwijl de bevoegdheid op deze gebieden in de Verdragen duidelijk wordt voorbehouden aan de lidstaten?</w:t>
      </w:r>
    </w:p>
    <w:p>
      <w:pPr>
        <w:pStyle w:val="NormalHanging12a"/>
      </w:pPr>
      <w:r>
        <w:t>2.</w:t>
      </w:r>
      <w:r>
        <w:tab/>
      </w:r>
      <w:r>
        <w:t>Is nagegaan welke sociale, financiële en praktische gevolgen de strategie 2020‑2025 heeft gehad? Hoe gaan de nieuwe initiatieven er bovendien voor zorgen dat nationale constitutionele tradities, ouderlijk gezag, subsidiariteit en evenredigheid worden geëerbiedigd?</w:t>
      </w:r>
    </w:p>
    <w:p>
      <w:pPr>
        <w:pStyle w:val="NormalHanging12a"/>
      </w:pPr>
      <w:r>
        <w:t>3.</w:t>
      </w:r>
      <w:r>
        <w:tab/>
      </w:r>
      <w:r>
        <w:t>Waarom geeft de Commissie, ondanks de aanhoudende meldingen van discriminatie op verschillende andere gronden (waaronder godsdienst, handicap en leeftijd), prioriteit aan aanvullende, op identiteit gebaseerde kaders in plaats van zich te richten op een uniforme, gelijke antidiscriminatieaanpak voor alle EU-burgers?</w:t>
      </w:r>
    </w:p>
    <w:p>
      <w:pPr>
        <w:pStyle w:val="Normal12a"/>
      </w:pPr>
      <w:r>
        <w:t>Ondersteuners</w:t>
      </w:r>
      <w:r>
        <w:rPr>
          <w:rStyle w:val="FootnoteReference"/>
        </w:rPr>
        <w:footnoteReference w:customMarkFollows="1" w:id="2"/>
        <w:t xml:space="preserve">1</w:t>
      </w:r>
    </w:p>
    <w:p>
      <w:pPr>
        <w:pStyle w:val="Normal12a"/>
      </w:pPr>
      <w:r>
        <w:t xml:space="preserve">Ingediend: </w:t>
      </w:r>
      <w:r>
        <w:t>4.12.2025</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PE781.771v01-00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PE781.771v01-00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PE781.771v01-00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ForceStyle"/>
      </w:pPr>
      <w:r>
        <w:rPr>
          <w:vertAlign w:val="superscript"/>
        </w:rPr>
        <w:t>1</w:t>
      </w:r>
      <w:r>
        <w:tab/>
      </w:r>
      <w:r>
        <w:t>Deze vraag wordt ondersteund door andere leden dan de stellers van de vraag</w:t>
      </w:r>
      <w:r>
        <w:t xml:space="preserve">: </w:t>
      </w:r>
      <w:r>
        <w:t>Paolo Inselvini</w:t>
      </w:r>
      <w:r>
        <w:t xml:space="preserve"> (</w:t>
      </w:r>
      <w:r>
        <w:t>ECR</w:t>
      </w:r>
      <w:r>
        <w:t xml:space="preserve">), </w:t>
      </w:r>
      <w:r>
        <w:t>Mathilde Androuët</w:t>
      </w:r>
      <w:r>
        <w:t xml:space="preserve"> (</w:t>
      </w:r>
      <w:r>
        <w:t>PfE</w:t>
      </w:r>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301</Words>
  <Characters>1992</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309068</vt:lpwstr>
  </property>
  <property fmtid="{D5CDD505-2E9C-101B-9397-08002B2CF9AE}" pid="3" name="dmxml.render.traceId">
    <vt:lpwstr>693bf9cea0e17f29d438d957e15e3237</vt:lpwstr>
  </property>
  <property fmtid="{D5CDD505-2E9C-101B-9397-08002B2CF9AE}" pid="4" name="Model">
    <vt:lpwstr>QE</vt:lpwstr>
  </property>
  <property fmtid="{D5CDD505-2E9C-101B-9397-08002B2CF9AE}" pid="5" name="Type">
    <vt:lpwstr>QE</vt:lpwstr>
  </property>
</Properties>
</file>