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p>
      <w:pPr>
        <w:pStyle w:val="NormalBold"/>
      </w:pPr>
      <w:r>
        <w:t>Ερώτηση με αίτημα γραπτής απάντησης</w:t>
      </w:r>
      <w:r>
        <w:t xml:space="preserve"> </w:t>
      </w:r>
      <w:r>
        <w:t>E-005070/2025</w:t>
      </w:r>
    </w:p>
    <w:p>
      <w:pPr>
        <w:pStyle w:val="NormalBold"/>
      </w:pPr>
      <w:r>
        <w:t xml:space="preserve">προς την </w:t>
      </w:r>
      <w:r>
        <w:t>Επιτροπή</w:t>
      </w:r>
    </w:p>
    <w:p>
      <w:r>
        <w:t>Άρθρο 144 του Κανονισμού</w:t>
      </w:r>
    </w:p>
    <w:p>
      <w:r>
        <w:rPr>
          <w:b/>
        </w:rPr>
        <w:t>Δημήτρης Τσιόδρας</w:t>
      </w:r>
      <w:r>
        <w:rPr>
          <w:b/>
        </w:rPr>
        <w:t xml:space="preserve"> (</w:t>
      </w:r>
      <w:r>
        <w:rPr>
          <w:b/>
        </w:rPr>
        <w:t>PPE</w:t>
      </w:r>
      <w:r>
        <w:rPr>
          <w:b/>
        </w:rPr>
        <w:t>)</w:t>
      </w:r>
    </w:p>
    <w:p/>
    <w:p>
      <w:pPr>
        <w:pStyle w:val="QuestionSubject"/>
      </w:pPr>
      <w:r>
        <w:t>Θέμα:</w:t>
        <w:tab/>
      </w:r>
      <w:r>
        <w:t>Προστασία των καταναλωτών μέσω πιο αποτελεσματικού ελέγχου και αποτροπής της εισαγωγής επικίνδυνων καλλυντικών στην ευρωπαϊκή αγορά</w:t>
      </w:r>
    </w:p>
    <w:p>
      <w:pPr>
        <w:pStyle w:val="Normal12a"/>
      </w:pPr>
      <w:r>
        <w:t>Τις περασμένες ημέρες, σειρά επικίνδυνων καλλυντικών ανακλήθηκαν από την ευρωπαϊκή αγορά αφού —μετά από εργαστηριακούς ελέγχους— ανιχνεύθηκαν σε εξαιρετικά υψηλή συγκέντρωση καρκινογόνες ουσίες, όπως αρσενικό, και βαρέα μέταλλα, όπως αντιμόνιο, σελήνιο, βάριο, κοβάλτιο και ζιρκόνιο. Αυτό αποτελεί παραβίαση της ευρωπαϊκής νομοθεσίας και καθιστά τα συγκεκριμένα προϊόντα επικίνδυνα για τους καταναλωτές.</w:t>
      </w:r>
    </w:p>
    <w:p>
      <w:pPr>
        <w:pStyle w:val="Normal12a"/>
      </w:pPr>
      <w:r>
        <w:t>Είναι ενδεικτικό δε ότι τα προϊόντα αυτά είτε είχαν εισαχθεί από ασιατικές χώρες είτε ήταν «αγνώστου προέλευσης», δεδομένου ότι εισάγονται μέσω διαδικτυακών πλατφορμών, οι οποίες δεν αναλαμβάνουν τις υποχρεώσεις που απορρέουν από την εισαγωγή και διάθεση ενός προϊόντος στην ευρωπαϊκή αγορά. Αυτό αναδεικνύει για μια ακόμη φορά ότι το ισχύον σύστημα βασίζεται περισσότερο στην αντίδραση παρά στην πρόληψη, καθώς οι αρχές παρεμβαίνουν μόνο μετά την πώληση επικίνδυνων προϊόντων αντί να εμποδίζουν τη διανομή τους.</w:t>
      </w:r>
    </w:p>
    <w:p>
      <w:pPr>
        <w:pStyle w:val="Normal12a"/>
      </w:pPr>
      <w:r>
        <w:t>Υπό το φως των ανωτέρω, ερωτάται η Επιτροπή:</w:t>
      </w:r>
    </w:p>
    <w:p>
      <w:pPr>
        <w:pStyle w:val="NormalHanging12a"/>
      </w:pPr>
      <w:r>
        <w:t>1.</w:t>
      </w:r>
      <w:r>
        <w:tab/>
      </w:r>
      <w:r>
        <w:t>Τι μέτρα σκοπεύει να λάβει για να ελέγχονται πιο αποτελεσματικά οι εισαγωγές τέτοιων προϊόντων στην αγορά;</w:t>
      </w:r>
    </w:p>
    <w:p>
      <w:pPr>
        <w:pStyle w:val="NormalHanging12a"/>
      </w:pPr>
      <w:r>
        <w:t>2.</w:t>
      </w:r>
      <w:r>
        <w:tab/>
      </w:r>
      <w:r>
        <w:t>Στο πλαίσιο του διαλόγου με τρίτες χώρες, σε τι ενέργειες προβαίνει για να αποτρέψει την εισαγωγή τέτοιων προϊόντων στην ΕΕ;</w:t>
      </w:r>
    </w:p>
    <w:p>
      <w:pPr>
        <w:pStyle w:val="NormalHanging12a"/>
      </w:pPr>
      <w:r>
        <w:t>3.</w:t>
      </w:r>
      <w:r>
        <w:tab/>
      </w:r>
      <w:r>
        <w:t>Πώς θα διασφαλίσει ότι θα υπάρχει οικονομικός φορέας ο οποίος θα αναλαμβάνει τις υποχρεώσεις του, ενώ τα στοιχεία επικοινωνίας του θα είναι διαθέσιμα και εύκολα προσβάσιμα για τους καταναλωτές;</w:t>
      </w:r>
    </w:p>
    <w:p>
      <w:pPr>
        <w:pStyle w:val="Normal12a"/>
      </w:pPr>
      <w:r>
        <w:t xml:space="preserve">Κατάθεση: </w:t>
      </w:r>
      <w:r>
        <w:t>24.12.2025</w:t>
      </w:r>
    </w:p>
    <w:sectPr>
      <w:footerReference w:type="even" r:id="rId4"/>
      <w:footerReference w:type="default" r:id="rId5"/>
      <w:footerReference w:type="first" r:id="rId6"/>
      <w:pgSz w:w="11909" w:h="16834"/>
      <w:pgMar w:top="1134" w:right="1417" w:bottom="1417" w:left="1417" w:header="1134" w:footer="567"/>
      <w:cols w:space="720"/>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PE782.731v01-00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PE782.731v01-00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PE782.731v01-00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ideTWBExt">
    <w:name w:val="HideTWBExt"/>
    <w:rPr>
      <w:rFonts w:ascii="Arial" w:hAnsi="Arial"/>
      <w:vanish/>
      <w:color w:val="000080"/>
      <w:sz w:val="20"/>
    </w:rPr>
  </w:style>
  <w:style w:type="character" w:customStyle="1" w:styleId="HideTWBInt">
    <w:name w:val="HideTWBInt"/>
    <w:rPr>
      <w:rFonts w:ascii="Arial" w:eastAsia="Arial" w:hAnsi="Arial" w:cs="Arial"/>
      <w:vanish/>
      <w:color w:val="808080"/>
      <w:sz w:val="20"/>
    </w:rPr>
  </w:style>
  <w:style w:type="paragraph" w:customStyle="1" w:styleId="Normal12a">
    <w:name w:val="Normal12a"/>
    <w:basedOn w:val="Normal"/>
    <w:pPr>
      <w:widowControl/>
      <w:spacing w:after="240"/>
    </w:pPr>
  </w:style>
  <w:style w:type="paragraph" w:customStyle="1" w:styleId="NormalBold">
    <w:name w:val="NormalBold"/>
    <w:basedOn w:val="Normal"/>
    <w:pPr>
      <w:widowControl/>
    </w:pPr>
    <w:rPr>
      <w:b/>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QuestionSubject">
    <w:name w:val="QuestionSubject"/>
    <w:basedOn w:val="Normal"/>
    <w:pPr>
      <w:widowControl/>
      <w:overflowPunct/>
      <w:spacing w:after="240"/>
      <w:ind w:left="1134" w:hanging="1134"/>
    </w:pPr>
  </w:style>
  <w:style w:type="paragraph" w:customStyle="1" w:styleId="EPFooter">
    <w:name w:val="EPFooter"/>
    <w:basedOn w:val="Normal"/>
    <w:pPr>
      <w:widowControl/>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spacing w:after="240"/>
      <w:outlineLvl w:val="9"/>
    </w:pPr>
    <w:rPr>
      <w:b/>
      <w:color w:val="2E74B5"/>
      <w:shd w:val="pct50" w:color="auto" w:fill="auto" w:themeColor="accent1" w:themeFill="accent1"/>
    </w:rPr>
  </w:style>
  <w:style w:type="paragraph" w:customStyle="1" w:styleId="FootnoteTextForceStyle">
    <w:name w:val="Footnote Text ForceStyle"/>
    <w:pPr>
      <w:widowControl/>
      <w:tabs>
        <w:tab w:val="left" w:pos="284"/>
      </w:tabs>
      <w:overflowPunct/>
      <w:ind w:left="284" w:hanging="284"/>
    </w:pPr>
  </w:style>
  <w:style w:type="character" w:customStyle="1" w:styleId="Heading1Char">
    <w:name w:val="Heading 1 Char"/>
    <w:rPr>
      <w:rFonts w:ascii="Calibri Light" w:hAnsi="Calibri Light"/>
      <w:b/>
      <w:sz w:val="32"/>
    </w:r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pPr>
      <w:widowControl/>
    </w:pPr>
    <w:rPr>
      <w:color w:val="FFFFFF"/>
      <w:shd w:val="clear" w:color="000000" w:fill="000000"/>
    </w:rPr>
  </w:style>
  <w:style w:type="paragraph" w:styleId="Footer">
    <w:name w:val="footer"/>
    <w:basedOn w:val="Normal"/>
    <w:rsid w:val="00EF7B96"/>
    <w:pPr>
      <w:tabs>
        <w:tab w:val="center" w:pos="4677"/>
        <w:tab w:val="right" w:pos="9355"/>
      </w:tabs>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Pages>
  <Words>235</Words>
  <Characters>1438</Characters>
  <Application>Microsoft Office Word</Application>
  <DocSecurity>0</DocSecurity>
  <Lines>1</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332615</vt:lpwstr>
  </property>
  <property fmtid="{D5CDD505-2E9C-101B-9397-08002B2CF9AE}" pid="3" name="dmxml.render.traceId">
    <vt:lpwstr>696505ca3e181292973c84b5afaf6030</vt:lpwstr>
  </property>
  <property fmtid="{D5CDD505-2E9C-101B-9397-08002B2CF9AE}" pid="4" name="Model">
    <vt:lpwstr>QE</vt:lpwstr>
  </property>
  <property fmtid="{D5CDD505-2E9C-101B-9397-08002B2CF9AE}" pid="5" name="Type">
    <vt:lpwstr>QE</vt:lpwstr>
  </property>
</Properties>
</file>