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Ερώτηση με αίτημα γραπτής απάντησης</w:t>
      </w:r>
      <w:r>
        <w:t xml:space="preserve"> </w:t>
      </w:r>
      <w:r>
        <w:t>E-001848/2026/rev.1</w:t>
      </w:r>
    </w:p>
    <w:p>
      <w:pPr>
        <w:pStyle w:val="NormalBold"/>
      </w:pPr>
      <w:r>
        <w:t xml:space="preserve">προς την </w:t>
      </w:r>
      <w:r>
        <w:t>Επιτροπή</w:t>
      </w:r>
    </w:p>
    <w:p>
      <w:r>
        <w:t>Άρθρο 144 του Κανονισμού</w:t>
      </w:r>
    </w:p>
    <w:p>
      <w:r>
        <w:rPr>
          <w:b/>
        </w:rPr>
        <w:t>Κώστας Παπαδάκης</w:t>
      </w:r>
      <w:r>
        <w:rPr>
          <w:b/>
        </w:rPr>
        <w:t xml:space="preserve"> (</w:t>
      </w:r>
      <w:r>
        <w:rPr>
          <w:b/>
        </w:rPr>
        <w:t>NI</w:t>
      </w:r>
      <w:r>
        <w:rPr>
          <w:b/>
        </w:rPr>
        <w:t>)</w:t>
      </w:r>
    </w:p>
    <w:p/>
    <w:p>
      <w:pPr>
        <w:pStyle w:val="QuestionSubject"/>
      </w:pPr>
      <w:r>
        <w:t>Θέμα:</w:t>
        <w:tab/>
      </w:r>
      <w:r>
        <w:t xml:space="preserve">Επιθεώρηση εργασίας: ακόμα πιο βολική στα μέτρα της μεγαλοεργοδοσίας και την ασυδοσία της </w:t>
      </w:r>
    </w:p>
    <w:p>
      <w:pPr>
        <w:pStyle w:val="Normal12a"/>
      </w:pPr>
      <w:r>
        <w:t>Κυβέρνηση (Ν.5297/2026</w:t>
      </w:r>
      <w:r>
        <w:rPr>
          <w:rStyle w:val="FootnoteReference"/>
        </w:rPr>
        <w:footnoteReference w:customMarkFollows="1" w:id="2"/>
        <w:t xml:space="preserve">1</w:t>
      </w:r>
      <w:r>
        <w:t xml:space="preserve">) και ΕΕ ψήφισαν πρόσφατα νόμο με τον οποίο προωθούν μια εμπορευματοποιημένη επιθεώρηση εργασίας, ακόμα πιο φιλική στη μεγαλοεργοδοσία και την ασυδοσία της.        </w:t>
      </w:r>
    </w:p>
    <w:p>
      <w:pPr>
        <w:pStyle w:val="Normal12a"/>
      </w:pPr>
      <w:r>
        <w:t>Με κριτήριο το κυνήγι του επιχειρηματικού κέρδους θα είναι αδύνατο να εκπληρώσει την ευθύνη της για την προστασία της ζωής και της ασφάλειας των εργαζομένων.</w:t>
      </w:r>
    </w:p>
    <w:p>
      <w:pPr>
        <w:pStyle w:val="Normal12a"/>
      </w:pPr>
      <w:r>
        <w:t>Πώς τοποθετείται η Επιτροπή στο γεγονός ότι:</w:t>
      </w:r>
    </w:p>
    <w:p>
      <w:pPr>
        <w:pStyle w:val="NormalHanging12a"/>
      </w:pPr>
      <w:r>
        <w:t>1.</w:t>
      </w:r>
      <w:r>
        <w:tab/>
      </w:r>
      <w:r>
        <w:t>οι κατευθύνσεις για «απλούστευση» στο όνομα της ανταγωνιστικότητας και της μείωσης του «διοικητικού βάρους», οδηγούν σε εκ των προτέρων ενημερώσεις της εργοδοσίας για ελέγχους, σε πρόσθετα εμπόδια για να μην μπορούν να ασκήσουν οι επιθεωρητές το έργο τους, σε εμπλοκή ιδιωτών ενάντια ακόμα και στην 81η Διεθνή Σύμβαση Εργασίας, και σε ξήλωμα απαιτούμενων μέτρων υγιεινής και ασφάλειας βάζοντας σε θανάσιμο κίνδυνο τους εργαζόμενους;</w:t>
      </w:r>
    </w:p>
    <w:p>
      <w:pPr>
        <w:pStyle w:val="NormalHanging12a"/>
      </w:pPr>
      <w:r>
        <w:t>2.</w:t>
      </w:r>
      <w:r>
        <w:tab/>
      </w:r>
      <w:r>
        <w:t>η λεγόμενη αυτοσυμμόρφωση των εργοδοτών και η αποψίλωση του προσωπικού των ελεγκτικών μηχανισμών με βάση τη στρατηγική των «ανεξάρτητων» αρχών και μηχανισμών τύπου Ευρωπαϊκής Αρχής Εργασίας, που εφαρμόζονται από τις κυβερνήσεις των κρατών μελών συντείνουν στην εκτίναξη του αριθμού των εργατικών ατυχημάτων – εργοδοτικών εγκλημάτων;</w:t>
      </w:r>
    </w:p>
    <w:p>
      <w:pPr>
        <w:pStyle w:val="NormalHanging12a"/>
      </w:pPr>
      <w:r>
        <w:t>3.</w:t>
      </w:r>
      <w:r>
        <w:tab/>
      </w:r>
      <w:r>
        <w:t>στο όνομα της ανταγωνιστικότητας και της «ευελιξίας» των 13 ωρών και των μόλις 11 ωρών ξεκούρασης από τη μια στην επόμενη βάρδια για τον εργαζόμενο, που επιβάλλονται από τις ευρωενωσιακές οδηγίες, κλιμακώνεται η εντατικοποίηση, αυξάνονται τα όρια συνταξιοδότησης, συνταξιούχοι επιστρέφουν στη δουλειά, αυξάνεται η εργασία ανηλίκων, διαμορφώνονται εκρηκτικές συνθήκες που οδηγούν σε συστηματική υποβάθμιση της προστασίας της ζωής και υγείας των εργαζομένων, με αποτέλεσμα την αύξηση των εργατικών ατυχημάτων και θανατηφόρων περιστατικών στους χώρους δουλειάς;</w:t>
      </w:r>
    </w:p>
    <w:p>
      <w:pPr>
        <w:pStyle w:val="Normal12a"/>
      </w:pPr>
      <w:r>
        <w:t xml:space="preserve">Κατάθεση: </w:t>
      </w:r>
      <w:r>
        <w:t>6.5.2026</w:t>
      </w:r>
    </w:p>
    <w:sectPr>
      <w:footerReference w:type="even" r:id="rId5"/>
      <w:footerReference w:type="default" r:id="rId6"/>
      <w:footerReference w:type="first" r:id="rId7"/>
      <w:footnotePr>
        <w:numRestart w:val="eachSect"/>
      </w:footnotePr>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PE788.752v02-00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PE788.752v02-00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PE788.752v02-00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ab/>
      </w:r>
      <w:r>
        <w:t>https://www.e-nomothesia.gr/kat-epikheireseis/nomos-5297-2026.html.</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character" w:customStyle="1" w:styleId="HideTWBInt">
    <w:name w:val="HideTWBInt"/>
    <w:rPr>
      <w:rFonts w:ascii="Arial" w:eastAsia="Arial" w:hAnsi="Arial" w:cs="Arial"/>
      <w:vanish/>
      <w:color w:val="808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paragraph" w:customStyle="1" w:styleId="FootnoteTextForceStyle">
    <w:name w:val="Footnote Text ForceStyle"/>
    <w:pPr>
      <w:widowControl/>
      <w:tabs>
        <w:tab w:val="left" w:pos="284"/>
      </w:tabs>
      <w:overflowPunct/>
      <w:ind w:left="284" w:hanging="284"/>
    </w:p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273</Words>
  <Characters>1678</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508411</vt:lpwstr>
  </property>
  <property fmtid="{D5CDD505-2E9C-101B-9397-08002B2CF9AE}" pid="3" name="dmxml.render.traceId">
    <vt:lpwstr>6a16e3f7ec981563bbf514a67fcdb637</vt:lpwstr>
  </property>
  <property fmtid="{D5CDD505-2E9C-101B-9397-08002B2CF9AE}" pid="4" name="Model">
    <vt:lpwstr>QE</vt:lpwstr>
  </property>
  <property fmtid="{D5CDD505-2E9C-101B-9397-08002B2CF9AE}" pid="5" name="Type">
    <vt:lpwstr>QE</vt:lpwstr>
  </property>
</Properties>
</file>