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24.2.0 -->
  <w:body>
    <w:p>
      <w:pPr>
        <w:pStyle w:val="NormalBold"/>
      </w:pPr>
      <w:r>
        <w:t>Въпрос с искане за писмен отговор</w:t>
      </w:r>
      <w:r>
        <w:t xml:space="preserve"> </w:t>
      </w:r>
      <w:r>
        <w:t>E-003236/2026</w:t>
      </w:r>
    </w:p>
    <w:p>
      <w:pPr>
        <w:pStyle w:val="NormalBold"/>
      </w:pPr>
      <w:r>
        <w:t xml:space="preserve">до </w:t>
      </w:r>
      <w:r>
        <w:t>Комисията</w:t>
      </w:r>
    </w:p>
    <w:p>
      <w:r>
        <w:t>Член 144 от Правилника за дейността</w:t>
      </w:r>
    </w:p>
    <w:p>
      <w:r>
        <w:rPr>
          <w:b/>
        </w:rPr>
        <w:t>Ивайло Вълчев</w:t>
      </w:r>
      <w:r>
        <w:rPr>
          <w:b/>
        </w:rPr>
        <w:t xml:space="preserve"> (</w:t>
      </w:r>
      <w:r>
        <w:rPr>
          <w:b/>
        </w:rPr>
        <w:t>ECR</w:t>
      </w:r>
      <w:r>
        <w:rPr>
          <w:b/>
        </w:rPr>
        <w:t>)</w:t>
      </w:r>
    </w:p>
    <w:p/>
    <w:p>
      <w:pPr>
        <w:pStyle w:val="QuestionSubject"/>
      </w:pPr>
      <w:r>
        <w:t>Относно:</w:t>
        <w:tab/>
      </w:r>
      <w:r>
        <w:t>Преходно прилагане на член 45, параграф 3 от Регламента относно опаковките и отпадъците от опаковки спрямо малките предприятия</w:t>
      </w:r>
    </w:p>
    <w:p>
      <w:pPr>
        <w:pStyle w:val="Normal12a"/>
      </w:pPr>
      <w:r>
        <w:t>От 12 август 2026 г. член 45( 3) от Регламент (ЕС) 2025/40 ще задължава установените в ЕС производители, които продават пряко на крайни потребители в друга държава членка, да назначат в нея упълномощен представител във връзка с разширената отговорност на производителя.</w:t>
      </w:r>
    </w:p>
    <w:p>
      <w:pPr>
        <w:pStyle w:val="Normal12a"/>
      </w:pPr>
      <w:r>
        <w:t>За занаятчиите и микропроизводителите, които продават малки количества зад граница, включително чрез платформи, фиксираните разходи и административната тежест могат да бъдат непропорционални. Това важи дори когато са регистрирани в съответните национални схеми и изпълняват задълженията си за отчитане и заплащане на дължимите вноски.</w:t>
      </w:r>
    </w:p>
    <w:p>
      <w:pPr>
        <w:pStyle w:val="Normal12a"/>
      </w:pPr>
      <w:r>
        <w:t>С COM(2025) 982 се предлага прилагането на тази разпоредба да бъде спряно, но едва от влизането в сила на изменящия регламент. Ако той бъде приет след 12 август, предприятията може да бъдат принудени временно да наемат представители, а скоро след това да прекратят договорите си с тях.</w:t>
      </w:r>
    </w:p>
    <w:p>
      <w:pPr>
        <w:pStyle w:val="NormalHanging12a"/>
      </w:pPr>
      <w:r>
        <w:t>1.</w:t>
      </w:r>
      <w:r>
        <w:tab/>
      </w:r>
      <w:r>
        <w:t>Как Комисията възнамерява да предотврати временното прилагане на това изискване и произтичащите от него ненужни разходи?</w:t>
      </w:r>
    </w:p>
    <w:p>
      <w:pPr>
        <w:pStyle w:val="NormalHanging12a"/>
      </w:pPr>
      <w:r>
        <w:t>2.</w:t>
      </w:r>
      <w:r>
        <w:tab/>
      </w:r>
      <w:r>
        <w:t>Би ли подкрепила спирането да се прилага, считано от 12 август 2026 г., поне за установените в ЕС микро- и малки предприятия?</w:t>
      </w:r>
    </w:p>
    <w:p>
      <w:pPr>
        <w:pStyle w:val="NormalHanging12a"/>
      </w:pPr>
      <w:r>
        <w:t>3.</w:t>
      </w:r>
      <w:r>
        <w:tab/>
      </w:r>
      <w:r>
        <w:t>До влизането в сила на изменението ще координира ли Комисията с държавите членки пропорционален и последователен подход към правоприлагането, без да се засягат останалите задължения, произтичащи от разширената отговорност на производителя?</w:t>
      </w:r>
    </w:p>
    <w:p>
      <w:pPr>
        <w:pStyle w:val="Normal12a"/>
      </w:pPr>
      <w:r>
        <w:t xml:space="preserve">Внесен: </w:t>
      </w:r>
      <w:r>
        <w:t>8.8.2026</w:t>
      </w:r>
    </w:p>
    <w:sectPr>
      <w:footerReference w:type="even" r:id="rId4"/>
      <w:footerReference w:type="default" r:id="rId5"/>
      <w:footerReference w:type="first" r:id="rId6"/>
      <w:pgSz w:w="11909" w:h="16834"/>
      <w:pgMar w:top="1134" w:right="1417" w:bottom="1417" w:left="1417" w:header="1134" w:footer="567"/>
      <w:cols w:space="720"/>
      <w:titlePg w:val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Footer"/>
    </w:pPr>
    <w:r>
      <w:tab/>
    </w:r>
    <w:r>
      <w:tab/>
    </w:r>
    <w:r>
      <w:t>PE792.447v01-00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Footer"/>
    </w:pPr>
    <w:r>
      <w:tab/>
    </w:r>
    <w:r>
      <w:tab/>
    </w:r>
    <w:r>
      <w:t>PE792.447v01-00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Footer"/>
    </w:pPr>
    <w:r>
      <w:tab/>
    </w:r>
    <w:r>
      <w:tab/>
    </w:r>
    <w:r>
      <w:t>PE792.447v01-00</w: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</w:pPr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ideTWBExt">
    <w:name w:val="HideTWBExt"/>
    <w:rPr>
      <w:rFonts w:ascii="Arial" w:hAnsi="Arial"/>
      <w:vanish/>
      <w:color w:val="000080"/>
      <w:sz w:val="20"/>
    </w:rPr>
  </w:style>
  <w:style w:type="paragraph" w:customStyle="1" w:styleId="Normal12a">
    <w:name w:val="Normal12a"/>
    <w:basedOn w:val="Normal"/>
    <w:pPr>
      <w:widowControl/>
      <w:spacing w:after="240"/>
    </w:pPr>
  </w:style>
  <w:style w:type="paragraph" w:customStyle="1" w:styleId="NormalBold">
    <w:name w:val="NormalBold"/>
    <w:basedOn w:val="Normal"/>
    <w:pPr>
      <w:widowControl/>
    </w:pPr>
    <w:rPr>
      <w:b/>
    </w:rPr>
  </w:style>
  <w:style w:type="paragraph" w:customStyle="1" w:styleId="FootnoteTextForceStyle">
    <w:name w:val="Footnote Text ForceStyle"/>
    <w:pPr>
      <w:widowControl/>
      <w:tabs>
        <w:tab w:val="left" w:pos="284"/>
      </w:tabs>
      <w:overflowPunct/>
      <w:ind w:left="284" w:hanging="284"/>
    </w:pPr>
  </w:style>
  <w:style w:type="paragraph" w:customStyle="1" w:styleId="EPFooter2">
    <w:name w:val="EPFooter2"/>
    <w:basedOn w:val="Normal"/>
    <w:next w:val="Normal"/>
    <w:pPr>
      <w:widowControl/>
      <w:tabs>
        <w:tab w:val="center" w:pos="4534"/>
        <w:tab w:val="right" w:pos="9920"/>
      </w:tabs>
      <w:ind w:left="-840" w:right="-840"/>
    </w:pPr>
    <w:rPr>
      <w:rFonts w:ascii="Arial" w:eastAsia="Arial" w:hAnsi="Arial" w:cs="Arial"/>
      <w:b/>
      <w:sz w:val="48"/>
    </w:rPr>
  </w:style>
  <w:style w:type="paragraph" w:customStyle="1" w:styleId="NormalHanging12a">
    <w:name w:val="NormalHanging12a"/>
    <w:basedOn w:val="Normal"/>
    <w:pPr>
      <w:widowControl/>
      <w:overflowPunct/>
      <w:spacing w:after="240"/>
      <w:ind w:left="566" w:hanging="566"/>
    </w:pPr>
  </w:style>
  <w:style w:type="paragraph" w:customStyle="1" w:styleId="QuestionSubject">
    <w:name w:val="QuestionSubject"/>
    <w:basedOn w:val="Normal"/>
    <w:pPr>
      <w:widowControl/>
      <w:overflowPunct/>
      <w:spacing w:after="240"/>
      <w:ind w:left="1134" w:hanging="1134"/>
    </w:pPr>
  </w:style>
  <w:style w:type="paragraph" w:customStyle="1" w:styleId="EPFooter">
    <w:name w:val="EPFooter"/>
    <w:basedOn w:val="Normal"/>
    <w:pPr>
      <w:widowControl/>
      <w:tabs>
        <w:tab w:val="center" w:pos="4534"/>
        <w:tab w:val="right" w:pos="9070"/>
      </w:tabs>
      <w:spacing w:before="240" w:after="240"/>
    </w:pPr>
    <w:rPr>
      <w:sz w:val="22"/>
    </w:rPr>
  </w:style>
  <w:style w:type="paragraph" w:styleId="TOCHeading">
    <w:name w:val="TOC Heading"/>
    <w:basedOn w:val="Normal"/>
    <w:next w:val="Normal"/>
    <w:uiPriority w:val="39"/>
    <w:unhideWhenUsed/>
    <w:qFormat/>
    <w:rsid w:val="000200DD"/>
    <w:pPr>
      <w:keepLines/>
      <w:widowControl/>
      <w:spacing w:after="240"/>
      <w:outlineLvl w:val="9"/>
    </w:pPr>
    <w:rPr>
      <w:b/>
      <w:color w:val="2E74B5"/>
      <w:shd w:val="pct50" w:color="auto" w:fill="auto" w:themeColor="accent1" w:themeFill="accent1"/>
    </w:rPr>
  </w:style>
  <w:style w:type="character" w:customStyle="1" w:styleId="HideTWBInt">
    <w:name w:val="HideTWBInt"/>
    <w:rPr>
      <w:rFonts w:ascii="Arial" w:eastAsia="Arial" w:hAnsi="Arial" w:cs="Arial"/>
      <w:vanish/>
      <w:color w:val="808080"/>
      <w:sz w:val="20"/>
    </w:rPr>
  </w:style>
  <w:style w:type="character" w:customStyle="1" w:styleId="Heading1Char">
    <w:name w:val="Heading 1 Char"/>
    <w:rPr>
      <w:rFonts w:ascii="Calibri Light" w:hAnsi="Calibri Light"/>
      <w:b/>
      <w:sz w:val="32"/>
    </w:rPr>
  </w:style>
  <w:style w:type="character" w:customStyle="1" w:styleId="CMissingStyle">
    <w:name w:val="C_MissingStyle"/>
    <w:rPr>
      <w:color w:val="FFFFFF"/>
      <w:sz w:val="22"/>
      <w:shd w:val="clear" w:color="000000" w:fill="000000"/>
    </w:rPr>
  </w:style>
  <w:style w:type="paragraph" w:customStyle="1" w:styleId="PMissingStyle">
    <w:name w:val="P_MissingStyle"/>
    <w:basedOn w:val="Normal"/>
    <w:pPr>
      <w:widowControl/>
    </w:pPr>
    <w:rPr>
      <w:color w:val="FFFFFF"/>
      <w:shd w:val="clear" w:color="000000" w:fill="000000"/>
    </w:rPr>
  </w:style>
  <w:style w:type="paragraph" w:styleId="Footer">
    <w:name w:val="footer"/>
    <w:basedOn w:val="Normal"/>
    <w:rsid w:val="00EF7B96"/>
    <w:pPr>
      <w:tabs>
        <w:tab w:val="center" w:pos="4677"/>
        <w:tab w:val="right" w:pos="9355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footer" Target="footer3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242</Words>
  <Characters>1415</Characters>
  <Application>Microsoft Office Word</Application>
  <DocSecurity>0</DocSecurity>
  <Lines>1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e-Parliament@europarl.europa.eu</dc:creator>
  <cp:lastModifiedBy>e-Parliament@europarl.europa.eu</cp:lastModifiedBy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xml.render.id">
    <vt:lpwstr>598745</vt:lpwstr>
  </property>
  <property fmtid="{D5CDD505-2E9C-101B-9397-08002B2CF9AE}" pid="3" name="dmxml.render.traceId">
    <vt:lpwstr>6a88135d2a43cb7ab07a1050894abd10</vt:lpwstr>
  </property>
  <property fmtid="{D5CDD505-2E9C-101B-9397-08002B2CF9AE}" pid="4" name="Model">
    <vt:lpwstr>QE</vt:lpwstr>
  </property>
  <property fmtid="{D5CDD505-2E9C-101B-9397-08002B2CF9AE}" pid="5" name="Type">
    <vt:lpwstr>QE</vt:lpwstr>
  </property>
</Properties>
</file>