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Kirjallisesti vastattava kysymys</w:t>
      </w:r>
      <w:r>
        <w:t xml:space="preserve"> </w:t>
      </w:r>
      <w:r>
        <w:t>E-003594/2026</w:t>
      </w:r>
    </w:p>
    <w:p>
      <w:pPr>
        <w:pStyle w:val="NormalBold"/>
      </w:pPr>
      <w:r>
        <w:t>komissiolle</w:t>
      </w:r>
      <w:r>
        <w:t xml:space="preserve"> </w:t>
      </w:r>
    </w:p>
    <w:p>
      <w:r>
        <w:t>työjärjestyksen 144 artikla</w:t>
      </w:r>
    </w:p>
    <w:p>
      <w:r>
        <w:rPr>
          <w:b/>
        </w:rPr>
        <w:t>Aura Salla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</w:t>
      </w:r>
    </w:p>
    <w:p/>
    <w:p>
      <w:pPr>
        <w:pStyle w:val="QuestionSubject"/>
      </w:pPr>
      <w:r>
        <w:t>Aihe:</w:t>
        <w:tab/>
      </w:r>
      <w:r>
        <w:t>Pakkaus- ja pakkausjäteasetuksen pieniin ja keskisuuriin yrityksiin kohdistuvien vaikutusten arviointi</w:t>
      </w:r>
    </w:p>
    <w:p>
      <w:pPr>
        <w:pStyle w:val="Normal12a"/>
      </w:pPr>
      <w:r>
        <w:t>Pakkaus- ja pakkausjäteasetus</w:t>
      </w:r>
      <w:r>
        <w:rPr>
          <w:rStyle w:val="FootnoteReference"/>
        </w:rPr>
        <w:footnoteReference w:customMarkFollows="1" w:id="2"/>
        <w:t xml:space="preserve">1</w:t>
      </w:r>
      <w:r>
        <w:t xml:space="preserve"> tuli voimaan 21. elokuuta 2026. Siinä asetetaan velvoitteita yrityksille, mikä aiheuttaa suhteettoman rasitteen pienille ja keskisuurille yrityksille (pk-yritykset) sekä mikroyrityksille. Eurooppalaiset yritykset ovat epäedullisessa asemassa kilpaillessaan Temun kaltaisten toimijoiden kanssa.</w:t>
      </w:r>
    </w:p>
    <w:p>
      <w:pPr>
        <w:pStyle w:val="Normal12a"/>
      </w:pPr>
      <w:r>
        <w:t>Pakkauksia ja pakkausjätettä koskevasta EU:n lainsäädännöstä tehdyssä vaikutustenarvioinnissa (SWD(2022)0384) todettiin tarve varmistaa, että pk-yrityksiin kohdistuvat vaikutukset pysyvät oikeasuhteisina. Tähän periaatteeseen viitataan pakkaus- ja pakkausjäteasetuksessa, jossa todetaan, että olisi kiinnitettävä huomiota siihen, että mikroyrityksiä ja pk-yrityksiä autetaan noudattamaan pakkaus- ja pakkausjäteasetusta. Asetuksessa ei säädetä toimenpiteistä sen varmistamiseksi, että vaatimukset ovat oikeassa suhteessa pk-yritysten valmiuksiin.</w:t>
      </w:r>
    </w:p>
    <w:p>
      <w:pPr>
        <w:pStyle w:val="Normal12a"/>
      </w:pPr>
      <w:r>
        <w:t>Osana asetuksen arviointia olisi käytettävä pk-yritystestiä. Komission olisi arvioitava pakkaus- ja pakkausjäteasetuksen vaikutusta pk-yrityksiin sekä sitä, tarvitaanko oikeasuhteisuuden varmistamiseksi lisätoimenpiteitä.</w:t>
      </w:r>
    </w:p>
    <w:p>
      <w:pPr>
        <w:pStyle w:val="Normal12a"/>
      </w:pPr>
      <w:r>
        <w:t>Voisiko komissio vastata seuraaviin kysymyksiin:</w:t>
      </w:r>
    </w:p>
    <w:p>
      <w:pPr>
        <w:pStyle w:val="NormalHanging12a"/>
      </w:pPr>
      <w:r>
        <w:t>1.</w:t>
      </w:r>
      <w:r>
        <w:tab/>
      </w:r>
      <w:r>
        <w:t>Aikooko komissio sitoutua tarkistamaan ja arvioimaan asetusta välittömästi, koska se tunnustaa vakavat ongelmat, jotka uhkaavat pk-yrityksiä?</w:t>
      </w:r>
    </w:p>
    <w:p>
      <w:pPr>
        <w:pStyle w:val="NormalHanging12a"/>
      </w:pPr>
      <w:r>
        <w:t>2.</w:t>
      </w:r>
      <w:r>
        <w:tab/>
      </w:r>
      <w:r>
        <w:t>Aikooko komissio toteuttaa pk-yritystestin, jossa arvioidaan erityisesti asetuksen todellisia vaikutuksia pk-yrityksiin?</w:t>
      </w:r>
    </w:p>
    <w:p>
      <w:pPr>
        <w:pStyle w:val="NormalHanging12a"/>
      </w:pPr>
      <w:r>
        <w:t>3.</w:t>
      </w:r>
      <w:r>
        <w:tab/>
      </w:r>
      <w:r>
        <w:t>Mihin toimiin komissio aikoo ryhtyä varmistaakseen, että pk- ja mikroyrityksiä ei rasiteta sääntelyvelvoitteilla, jotka voisivat vaikuttaa kielteisesti niiden kilpailukykyyn?</w:t>
      </w:r>
    </w:p>
    <w:p>
      <w:pPr>
        <w:pStyle w:val="Normal12a"/>
      </w:pPr>
      <w:r>
        <w:t xml:space="preserve">Jätetty: </w:t>
      </w:r>
      <w:r>
        <w:t>9.9.2026</w:t>
      </w:r>
    </w:p>
    <w:sectPr>
      <w:footerReference w:type="even" r:id="rId5"/>
      <w:footerReference w:type="default" r:id="rId6"/>
      <w:footerReference w:type="first" r:id="rId7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PE795.901v01-00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PE795.901v01-00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PE795.901v01-00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t>1</w:t>
      </w:r>
      <w:r>
        <w:t xml:space="preserve"> </w:t>
      </w:r>
      <w:r>
        <w:tab/>
      </w:r>
      <w:r>
        <w:t xml:space="preserve">Euroopan parlamentin ja neuvoston asetus (EU) 2025/40, annettu 19. joulukuuta 2024, pakkauksista ja pakkausjätteestä, asetuksen (EU) 2019/1020 ja direktiivin (EU) 2019/904 muuttamisesta ja direktiivin 94/62/EY kumoamisesta (EUVL L, 2025/40, 22.1.2025, ELI: </w:t>
      </w:r>
      <w:hyperlink r:id="rId1" w:tgtFrame="http://data.europa.eu/eli/reg/2025/40/oj" w:history="1">
        <w:r>
          <w:rPr>
            <w:rStyle w:val="Hyperlink"/>
          </w:rPr>
          <w:t>http://data.europa.eu/eli/reg/2025/40/oj</w:t>
        </w:r>
      </w:hyperlink>
      <w:r>
        <w:t>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40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184</Words>
  <Characters>1636</Characters>
  <Application>Microsoft Office Word</Application>
  <DocSecurity>0</DocSecurity>
  <Lines>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628180</vt:lpwstr>
  </property>
  <property fmtid="{D5CDD505-2E9C-101B-9397-08002B2CF9AE}" pid="3" name="dmxml.render.traceId">
    <vt:lpwstr>6ab3e783e29d001372aec20de0dcdf27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