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Interrogazione con richiesta di risposta scritta E-003250/2019</w:t>
      </w:r>
    </w:p>
    <w:p>
      <w:pPr>
        <w:pStyle w:val="Arial10"/>
      </w:pPr>
      <w:r>
        <w:rPr>
          <w:rStyle w:val="Bold"/>
        </w:rPr>
        <w:t>alla Commissione</w:t>
      </w:r>
    </w:p>
    <w:p>
      <w:pPr>
        <w:pStyle w:val="Arial10"/>
      </w:pPr>
      <w:r>
        <w:t>Articolo 138 del regolamento</w:t>
      </w:r>
    </w:p>
    <w:p>
      <w:pPr>
        <w:pStyle w:val="Arial10After10"/>
      </w:pPr>
      <w:r>
        <w:rPr>
          <w:rStyle w:val="Bold"/>
        </w:rPr>
        <w:t>Pietro Fiocchi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Marco Dreosto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Nicola Procaccini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Alexandr Vondra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Evžen Tošenovský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Jan Zahradil</w:t>
      </w:r>
      <w:r>
        <w:t xml:space="preserve"> (</w:t>
      </w:r>
      <w:r>
        <w:t>ECR</w:t>
      </w:r>
      <w:r>
        <w:t>)</w:t>
      </w:r>
    </w:p>
    <w:p>
      <w:pPr>
        <w:pStyle w:val="Subject"/>
      </w:pPr>
      <w:r>
        <w:t>Oggetto</w:t>
      </w:r>
      <w:r>
        <w:t>:</w:t>
      </w:r>
      <w:r>
        <w:tab/>
      </w:r>
      <w:r>
        <w:t>Bando del piombo</w:t>
      </w:r>
    </w:p>
    <w:p>
      <w:pPr>
        <w:pStyle w:val="Body"/>
      </w:pPr>
      <w:r>
        <w:t xml:space="preserve">Al fine di implementare il regolamento REACH, la Commissione europea ha richiesto all'ECHA di valutare una restrizione dell'uso del piombo, nelle zone umide e nelle aree terrestri, con riguardo alle munizioni da caccia, da tiro sportivo e degli attrezzi per la pesca. </w:t>
      </w:r>
    </w:p>
    <w:p>
      <w:pPr>
        <w:pStyle w:val="Body"/>
      </w:pPr>
      <w:r>
        <w:t xml:space="preserve">Appare urgente sollevare la questione che riguarda il "possesso" delle munizioni al piombo nelle zone umide, che nella proposta di ECHA viene equiparato addirittura all'"uso" con le prevedibili conseguenze sanzionatorie. </w:t>
      </w:r>
    </w:p>
    <w:p>
      <w:pPr>
        <w:pStyle w:val="Body"/>
      </w:pPr>
      <w:r>
        <w:t xml:space="preserve">I cacciatori infatti si spostano regolarmente tra zone umide e zone terrestri anche quando non sono a caccia di uccelli acquatici, pe cui dichiarare illegittimo il mero possesso del piombo in zona umida, sganciato dal concreto utilizzo, appare una misura abnorme e sproporzionata. </w:t>
      </w:r>
    </w:p>
    <w:p>
      <w:pPr>
        <w:pStyle w:val="Body"/>
      </w:pPr>
      <w:r>
        <w:t>Ciò premesso si chiede di sapere alla Commissione:</w:t>
      </w:r>
    </w:p>
    <w:p>
      <w:pPr>
        <w:pStyle w:val="itemList"/>
      </w:pPr>
      <w:r>
        <w:t>1.</w:t>
      </w:r>
      <w:r>
        <w:tab/>
      </w:r>
      <w:r>
        <w:t>Come intende intervenire per evitare i vizi di tipo giuridico derivanti dal possesso delle munizioni al piombo nelle zone umide?</w:t>
      </w:r>
    </w:p>
    <w:p>
      <w:pPr>
        <w:pStyle w:val="itemList"/>
      </w:pPr>
      <w:r>
        <w:t>2.</w:t>
      </w:r>
      <w:r>
        <w:tab/>
      </w:r>
      <w:r>
        <w:t>È consapevole del fatto che, in assenza di intervento, si creeranno certamente problemi di interpretazione della norma a chi sarà chiamato ad applicare la legge, e quindi a forze dell'ordine e a magistrati?</w:t>
      </w:r>
    </w:p>
    <w:p>
      <w:pPr>
        <w:pStyle w:val="Body"/>
      </w:pP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PE642.099v01-00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PE642.099v01-00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PE642.099v01-00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Interrogazione con richiesta di risposta scritta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20210122-111022-082195-874229</vt:lpwstr>
  </property>
</Properties>
</file>