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Question for written answer E-003690/2020</w:t>
      </w:r>
    </w:p>
    <w:p>
      <w:pPr>
        <w:pStyle w:val="Arial10"/>
      </w:pPr>
      <w:r>
        <w:rPr>
          <w:rStyle w:val="Bold"/>
        </w:rPr>
        <w:t>to the Commission</w:t>
      </w:r>
    </w:p>
    <w:p>
      <w:pPr>
        <w:pStyle w:val="Arial10"/>
      </w:pPr>
      <w:r>
        <w:t>Rule 138</w:t>
      </w:r>
    </w:p>
    <w:p>
      <w:pPr>
        <w:pStyle w:val="Arial10After10"/>
      </w:pPr>
      <w:r>
        <w:rPr>
          <w:rStyle w:val="Bold"/>
        </w:rPr>
        <w:t>Laura Ferrara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Mario Furore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Tiziana Beghin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Fabio Massimo Castaldo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Rosa D'Amato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Chiara Gemma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Dino Giarrusso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Eleonora Evi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Daniela Rondinelli</w:t>
      </w:r>
      <w:r>
        <w:t xml:space="preserve"> (</w:t>
      </w:r>
      <w:r>
        <w:t>NI</w:t>
      </w:r>
      <w:r>
        <w:t>)</w:t>
      </w:r>
    </w:p>
    <w:p>
      <w:pPr>
        <w:pStyle w:val="Subject"/>
      </w:pPr>
      <w:r>
        <w:t>Subject</w:t>
      </w:r>
      <w:r>
        <w:t>:</w:t>
      </w:r>
      <w:r>
        <w:tab/>
      </w:r>
      <w:r>
        <w:t>European Court of Auditors report on the Turin-Lyon high-speed rail link</w:t>
      </w:r>
    </w:p>
    <w:p>
      <w:pPr>
        <w:pStyle w:val="Body"/>
      </w:pPr>
      <w:r>
        <w:t>The European Court of Auditors recently published a report assessing certain megaprojects co-financed by the Commission.</w:t>
      </w:r>
    </w:p>
    <w:p>
      <w:pPr>
        <w:pStyle w:val="Body"/>
      </w:pPr>
      <w:r>
        <w:t>Among the eight infrastructure megaprojects costing more than EUR 1 billion to fund is also the second Lyon-Turin high-speed link, commonly known in Italy as the TAV.</w:t>
      </w:r>
    </w:p>
    <w:p>
      <w:pPr>
        <w:pStyle w:val="Body"/>
      </w:pPr>
      <w:r>
        <w:t>The Court’s report reveals a number of critical issues.</w:t>
      </w:r>
    </w:p>
    <w:p>
      <w:pPr>
        <w:pStyle w:val="Body"/>
      </w:pPr>
      <w:r>
        <w:t>Despite the 15-year delay, the project delivery deadlines will not be met, as the idea that the line will be operational by 2030 is considered unrealistic.</w:t>
      </w:r>
    </w:p>
    <w:p>
      <w:pPr>
        <w:pStyle w:val="Body"/>
      </w:pPr>
      <w:r>
        <w:t>Furthermore, compared to initial estimates, the cost of the project has increased by 85%, rising from EUR 5.2 billion to EUR 9.6 billion, including inflation.</w:t>
      </w:r>
    </w:p>
    <w:p>
      <w:pPr>
        <w:pStyle w:val="Body"/>
      </w:pPr>
      <w:r>
        <w:t>Lastly, the court even regards the traffic forecasts as being ‘overly optimistic‘, which means there is ‘a high risk of overestimating the environmental benefits’ of the TAV: pollutant emissions will not be offset until 25 years after the infrastructure enters into service (where predicted traffic levels are reached); otherwise it could take more than 50 years.</w:t>
      </w:r>
    </w:p>
    <w:p>
      <w:pPr>
        <w:pStyle w:val="Body"/>
      </w:pPr>
      <w:r>
        <w:t>In the light of this new information, can the Commission say whether:</w:t>
      </w:r>
    </w:p>
    <w:p>
      <w:pPr>
        <w:pStyle w:val="itemList"/>
      </w:pPr>
      <w:r>
        <w:t>1.</w:t>
      </w:r>
      <w:r>
        <w:tab/>
      </w:r>
      <w:r>
        <w:t>it continues to regard this project as vital and as a priority for EU transport policy;</w:t>
      </w:r>
    </w:p>
    <w:p>
      <w:pPr>
        <w:pStyle w:val="itemList"/>
      </w:pPr>
      <w:r>
        <w:t>2.</w:t>
      </w:r>
      <w:r>
        <w:tab/>
      </w:r>
      <w:r>
        <w:t>it intends to call it into question;</w:t>
      </w:r>
    </w:p>
    <w:p>
      <w:pPr>
        <w:pStyle w:val="itemList"/>
      </w:pPr>
      <w:r>
        <w:t>3.</w:t>
      </w:r>
      <w:r>
        <w:tab/>
      </w:r>
      <w:r>
        <w:t>it will consider the option of reviewing the funds earmarked for the TAV and transfer them to other priorities, in view also of the coronavirus emergency?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PE654.517v01-00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PE654.517v01-00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PE654.517v01-00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for written answer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20200704-202657-076889-661026</vt:lpwstr>
  </property>
</Properties>
</file>