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p>
      <w:pPr>
        <w:pStyle w:val="Arial10"/>
      </w:pPr>
      <w:r w:rsidR="00A77B3E">
        <w:rPr>
          <w:rStyle w:val="Bold"/>
        </w:rPr>
        <w:t>Interrogazione con richiesta di risposta scritta E-003868/2020</w:t>
      </w:r>
    </w:p>
    <w:p>
      <w:pPr>
        <w:pStyle w:val="Arial10"/>
      </w:pPr>
      <w:r>
        <w:rPr>
          <w:rStyle w:val="Bold"/>
        </w:rPr>
        <w:t>alla Commissione</w:t>
      </w:r>
    </w:p>
    <w:p>
      <w:pPr>
        <w:pStyle w:val="Arial10"/>
      </w:pPr>
      <w:r>
        <w:t>Articolo 138 del regolamento</w:t>
      </w:r>
    </w:p>
    <w:p>
      <w:pPr>
        <w:pStyle w:val="Arial10After10"/>
      </w:pPr>
      <w:r>
        <w:rPr>
          <w:rStyle w:val="Bold"/>
        </w:rPr>
        <w:t>Radka Maxová</w:t>
      </w:r>
      <w:r>
        <w:t xml:space="preserve"> (</w:t>
      </w:r>
      <w:r>
        <w:t>Renew</w:t>
      </w:r>
      <w:r>
        <w:t xml:space="preserve">), </w:t>
      </w:r>
      <w:r>
        <w:rPr>
          <w:rStyle w:val="Bold"/>
        </w:rPr>
        <w:t>Chrysoula Zacharopoulou</w:t>
      </w:r>
      <w:r>
        <w:t xml:space="preserve"> (</w:t>
      </w:r>
      <w:r>
        <w:t>Renew</w:t>
      </w:r>
      <w:r>
        <w:t xml:space="preserve">), </w:t>
      </w:r>
      <w:r>
        <w:rPr>
          <w:rStyle w:val="Bold"/>
        </w:rPr>
        <w:t>Klemen Grošelj</w:t>
      </w:r>
      <w:r>
        <w:t xml:space="preserve"> (</w:t>
      </w:r>
      <w:r>
        <w:t>Renew</w:t>
      </w:r>
      <w:r>
        <w:t xml:space="preserve">), </w:t>
      </w:r>
      <w:r>
        <w:rPr>
          <w:rStyle w:val="Bold"/>
        </w:rPr>
        <w:t>Dragoș Pîslaru</w:t>
      </w:r>
      <w:r>
        <w:t xml:space="preserve"> (</w:t>
      </w:r>
      <w:r>
        <w:t>Renew</w:t>
      </w:r>
      <w:r>
        <w:t xml:space="preserve">), </w:t>
      </w:r>
      <w:r>
        <w:rPr>
          <w:rStyle w:val="Bold"/>
        </w:rPr>
        <w:t>Jarosław Duda</w:t>
      </w:r>
      <w:r>
        <w:t xml:space="preserve"> (</w:t>
      </w:r>
      <w:r>
        <w:t>PPE</w:t>
      </w:r>
      <w:r>
        <w:t xml:space="preserve">), </w:t>
      </w:r>
      <w:r>
        <w:rPr>
          <w:rStyle w:val="Bold"/>
        </w:rPr>
        <w:t>Łukasz Kohut</w:t>
      </w:r>
      <w:r>
        <w:t xml:space="preserve"> (</w:t>
      </w:r>
      <w:r>
        <w:t>S&amp;D</w:t>
      </w:r>
      <w:r>
        <w:t xml:space="preserve">), </w:t>
      </w:r>
      <w:r>
        <w:rPr>
          <w:rStyle w:val="Bold"/>
        </w:rPr>
        <w:t>Kateřina Konečná</w:t>
      </w:r>
      <w:r>
        <w:t xml:space="preserve"> (</w:t>
      </w:r>
      <w:r>
        <w:t>GUE/NGL</w:t>
      </w:r>
      <w:r>
        <w:t xml:space="preserve">), </w:t>
      </w:r>
      <w:r>
        <w:rPr>
          <w:rStyle w:val="Bold"/>
        </w:rPr>
        <w:t>Leszek Miller</w:t>
      </w:r>
      <w:r>
        <w:t xml:space="preserve"> (</w:t>
      </w:r>
      <w:r>
        <w:t>S&amp;D</w:t>
      </w:r>
      <w:r>
        <w:t xml:space="preserve">), </w:t>
      </w:r>
      <w:r>
        <w:rPr>
          <w:rStyle w:val="Bold"/>
        </w:rPr>
        <w:t>Ville Niinistö</w:t>
      </w:r>
      <w:r>
        <w:t xml:space="preserve"> (</w:t>
      </w:r>
      <w:r>
        <w:t>Verts/ALE</w:t>
      </w:r>
      <w:r>
        <w:t xml:space="preserve">), </w:t>
      </w:r>
      <w:r>
        <w:rPr>
          <w:rStyle w:val="Bold"/>
        </w:rPr>
        <w:t>Olivier Chastel</w:t>
      </w:r>
      <w:r>
        <w:t xml:space="preserve"> (</w:t>
      </w:r>
      <w:r>
        <w:t>Renew</w:t>
      </w:r>
      <w:r>
        <w:t xml:space="preserve">), </w:t>
      </w:r>
      <w:r>
        <w:rPr>
          <w:rStyle w:val="Bold"/>
        </w:rPr>
        <w:t>Fabio Massimo Castaldo</w:t>
      </w:r>
      <w:r>
        <w:t xml:space="preserve"> (</w:t>
      </w:r>
      <w:r>
        <w:t>NI</w:t>
      </w:r>
      <w:r>
        <w:t xml:space="preserve">), </w:t>
      </w:r>
      <w:r>
        <w:rPr>
          <w:rStyle w:val="Bold"/>
        </w:rPr>
        <w:t>Salvatore De Meo</w:t>
      </w:r>
      <w:r>
        <w:t xml:space="preserve"> (</w:t>
      </w:r>
      <w:r>
        <w:t>PPE</w:t>
      </w:r>
      <w:r>
        <w:t xml:space="preserve">), </w:t>
      </w:r>
      <w:r>
        <w:rPr>
          <w:rStyle w:val="Bold"/>
        </w:rPr>
        <w:t>Miriam Lexmann</w:t>
      </w:r>
      <w:r>
        <w:t xml:space="preserve"> (</w:t>
      </w:r>
      <w:r>
        <w:t>PPE</w:t>
      </w:r>
      <w:r>
        <w:t xml:space="preserve">), </w:t>
      </w:r>
      <w:r>
        <w:rPr>
          <w:rStyle w:val="Bold"/>
        </w:rPr>
        <w:t>Elżbieta Kruk</w:t>
      </w:r>
      <w:r>
        <w:t xml:space="preserve"> (</w:t>
      </w:r>
      <w:r>
        <w:t>ECR</w:t>
      </w:r>
      <w:r>
        <w:t xml:space="preserve">), </w:t>
      </w:r>
      <w:r>
        <w:rPr>
          <w:rStyle w:val="Bold"/>
        </w:rPr>
        <w:t>Demetris Papadakis</w:t>
      </w:r>
      <w:r>
        <w:t xml:space="preserve"> (</w:t>
      </w:r>
      <w:r>
        <w:t>S&amp;D</w:t>
      </w:r>
      <w:r>
        <w:t xml:space="preserve">), </w:t>
      </w:r>
      <w:r>
        <w:rPr>
          <w:rStyle w:val="Bold"/>
        </w:rPr>
        <w:t>Milan Brglez</w:t>
      </w:r>
      <w:r>
        <w:t xml:space="preserve"> (</w:t>
      </w:r>
      <w:r>
        <w:t>S&amp;D</w:t>
      </w:r>
      <w:r>
        <w:t xml:space="preserve">), </w:t>
      </w:r>
      <w:r>
        <w:rPr>
          <w:rStyle w:val="Bold"/>
        </w:rPr>
        <w:t>Alex Agius Saliba</w:t>
      </w:r>
      <w:r>
        <w:t xml:space="preserve"> (</w:t>
      </w:r>
      <w:r>
        <w:t>S&amp;D</w:t>
      </w:r>
      <w:r>
        <w:t xml:space="preserve">), </w:t>
      </w:r>
      <w:r>
        <w:rPr>
          <w:rStyle w:val="Bold"/>
        </w:rPr>
        <w:t>Manuel Pizarro</w:t>
      </w:r>
      <w:r>
        <w:t xml:space="preserve"> (</w:t>
      </w:r>
      <w:r>
        <w:t>S&amp;D</w:t>
      </w:r>
      <w:r>
        <w:t xml:space="preserve">), </w:t>
      </w:r>
      <w:r>
        <w:rPr>
          <w:rStyle w:val="Bold"/>
        </w:rPr>
        <w:t>Karin Karlsbro</w:t>
      </w:r>
      <w:r>
        <w:t xml:space="preserve"> (</w:t>
      </w:r>
      <w:r>
        <w:t>Renew</w:t>
      </w:r>
      <w:r>
        <w:t xml:space="preserve">), </w:t>
      </w:r>
      <w:r>
        <w:rPr>
          <w:rStyle w:val="Bold"/>
        </w:rPr>
        <w:t>Robert Biedroń</w:t>
      </w:r>
      <w:r>
        <w:t xml:space="preserve"> (</w:t>
      </w:r>
      <w:r>
        <w:t>S&amp;D</w:t>
      </w:r>
      <w:r>
        <w:t xml:space="preserve">), </w:t>
      </w:r>
      <w:r>
        <w:rPr>
          <w:rStyle w:val="Bold"/>
        </w:rPr>
        <w:t>Pascal Arimont</w:t>
      </w:r>
      <w:r>
        <w:t xml:space="preserve"> (</w:t>
      </w:r>
      <w:r>
        <w:t>PPE</w:t>
      </w:r>
      <w:r>
        <w:t xml:space="preserve">), </w:t>
      </w:r>
      <w:r>
        <w:rPr>
          <w:rStyle w:val="Bold"/>
        </w:rPr>
        <w:t>Magdalena Adamowicz</w:t>
      </w:r>
      <w:r>
        <w:t xml:space="preserve"> (</w:t>
      </w:r>
      <w:r>
        <w:t>PPE</w:t>
      </w:r>
      <w:r>
        <w:t xml:space="preserve">), </w:t>
      </w:r>
      <w:r>
        <w:rPr>
          <w:rStyle w:val="Bold"/>
        </w:rPr>
        <w:t>Marisa Matias</w:t>
      </w:r>
      <w:r>
        <w:t xml:space="preserve"> (</w:t>
      </w:r>
      <w:r>
        <w:t>GUE/NGL</w:t>
      </w:r>
      <w:r>
        <w:t xml:space="preserve">), </w:t>
      </w:r>
      <w:r>
        <w:rPr>
          <w:rStyle w:val="Bold"/>
        </w:rPr>
        <w:t>Viktor Uspaskich</w:t>
      </w:r>
      <w:r>
        <w:t xml:space="preserve"> (</w:t>
      </w:r>
      <w:r>
        <w:t>Renew</w:t>
      </w:r>
      <w:r>
        <w:t xml:space="preserve">), </w:t>
      </w:r>
      <w:r>
        <w:rPr>
          <w:rStyle w:val="Bold"/>
        </w:rPr>
        <w:t>Hilde Vautmans</w:t>
      </w:r>
      <w:r>
        <w:t xml:space="preserve"> (</w:t>
      </w:r>
      <w:r>
        <w:t>Renew</w:t>
      </w:r>
      <w:r>
        <w:t xml:space="preserve">), </w:t>
      </w:r>
      <w:r>
        <w:rPr>
          <w:rStyle w:val="Bold"/>
        </w:rPr>
        <w:t>Elżbieta Katarzyna Łukacijewska</w:t>
      </w:r>
      <w:r>
        <w:t xml:space="preserve"> (</w:t>
      </w:r>
      <w:r>
        <w:t>PPE</w:t>
      </w:r>
      <w:r>
        <w:t xml:space="preserve">), </w:t>
      </w:r>
      <w:r>
        <w:rPr>
          <w:rStyle w:val="Bold"/>
        </w:rPr>
        <w:t>Katrin Langensiepen</w:t>
      </w:r>
      <w:r>
        <w:t xml:space="preserve"> (</w:t>
      </w:r>
      <w:r>
        <w:t>Verts/ALE</w:t>
      </w:r>
      <w:r>
        <w:t xml:space="preserve">), </w:t>
      </w:r>
      <w:r>
        <w:rPr>
          <w:rStyle w:val="Bold"/>
        </w:rPr>
        <w:t>Cindy Franssen</w:t>
      </w:r>
      <w:r>
        <w:t xml:space="preserve"> (</w:t>
      </w:r>
      <w:r>
        <w:t>PPE</w:t>
      </w:r>
      <w:r>
        <w:t xml:space="preserve">), </w:t>
      </w:r>
      <w:r>
        <w:rPr>
          <w:rStyle w:val="Bold"/>
        </w:rPr>
        <w:t>Sylvie Brunet</w:t>
      </w:r>
      <w:r>
        <w:t xml:space="preserve"> (</w:t>
      </w:r>
      <w:r>
        <w:t>Renew</w:t>
      </w:r>
      <w:r>
        <w:t xml:space="preserve">), </w:t>
      </w:r>
      <w:r>
        <w:rPr>
          <w:rStyle w:val="Bold"/>
        </w:rPr>
        <w:t>Ádám Kósa</w:t>
      </w:r>
      <w:r>
        <w:t xml:space="preserve"> (</w:t>
      </w:r>
      <w:r>
        <w:t>PPE</w:t>
      </w:r>
      <w:r>
        <w:t xml:space="preserve">), </w:t>
      </w:r>
      <w:r>
        <w:rPr>
          <w:rStyle w:val="Bold"/>
        </w:rPr>
        <w:t>Izaskun Bilbao Barandica</w:t>
      </w:r>
      <w:r>
        <w:t xml:space="preserve"> (</w:t>
      </w:r>
      <w:r>
        <w:t>Renew</w:t>
      </w:r>
      <w:r>
        <w:t xml:space="preserve">), </w:t>
      </w:r>
      <w:r>
        <w:rPr>
          <w:rStyle w:val="Bold"/>
        </w:rPr>
        <w:t>Laurence Farreng</w:t>
      </w:r>
      <w:r>
        <w:t xml:space="preserve"> (</w:t>
      </w:r>
      <w:r>
        <w:t>Renew</w:t>
      </w:r>
      <w:r>
        <w:t xml:space="preserve">), </w:t>
      </w:r>
      <w:r>
        <w:rPr>
          <w:rStyle w:val="Bold"/>
        </w:rPr>
        <w:t>Carles Puigdemont i Casamajó</w:t>
      </w:r>
      <w:r>
        <w:t xml:space="preserve"> (</w:t>
      </w:r>
      <w:r>
        <w:t>NI</w:t>
      </w:r>
      <w:r>
        <w:t xml:space="preserve">), </w:t>
      </w:r>
      <w:r>
        <w:rPr>
          <w:rStyle w:val="Bold"/>
        </w:rPr>
        <w:t>Antoni Comín i Oliveres</w:t>
      </w:r>
      <w:r>
        <w:t xml:space="preserve"> (</w:t>
      </w:r>
      <w:r>
        <w:t>NI</w:t>
      </w:r>
      <w:r>
        <w:t xml:space="preserve">), </w:t>
      </w:r>
      <w:r>
        <w:rPr>
          <w:rStyle w:val="Bold"/>
        </w:rPr>
        <w:t>Clara Ponsatí Obiols</w:t>
      </w:r>
      <w:r>
        <w:t xml:space="preserve"> (</w:t>
      </w:r>
      <w:r>
        <w:t>NI</w:t>
      </w:r>
      <w:r>
        <w:t xml:space="preserve">), </w:t>
      </w:r>
      <w:r>
        <w:rPr>
          <w:rStyle w:val="Bold"/>
        </w:rPr>
        <w:t>Atidzhe Alieva-Veli</w:t>
      </w:r>
      <w:r>
        <w:t xml:space="preserve"> (</w:t>
      </w:r>
      <w:r>
        <w:t>Renew</w:t>
      </w:r>
      <w:r>
        <w:t xml:space="preserve">), </w:t>
      </w:r>
      <w:r>
        <w:rPr>
          <w:rStyle w:val="Bold"/>
        </w:rPr>
        <w:t>Marianne Vind</w:t>
      </w:r>
      <w:r>
        <w:t xml:space="preserve"> (</w:t>
      </w:r>
      <w:r>
        <w:t>S&amp;D</w:t>
      </w:r>
      <w:r>
        <w:t xml:space="preserve">), </w:t>
      </w:r>
      <w:r>
        <w:rPr>
          <w:rStyle w:val="Bold"/>
        </w:rPr>
        <w:t>José Gusmão</w:t>
      </w:r>
      <w:r>
        <w:t xml:space="preserve"> (</w:t>
      </w:r>
      <w:r>
        <w:t>GUE/NGL</w:t>
      </w:r>
      <w:r>
        <w:t xml:space="preserve">), </w:t>
      </w:r>
      <w:r>
        <w:rPr>
          <w:rStyle w:val="Bold"/>
        </w:rPr>
        <w:t>Krzysztof Hetman</w:t>
      </w:r>
      <w:r>
        <w:t xml:space="preserve"> (</w:t>
      </w:r>
      <w:r>
        <w:t>PPE</w:t>
      </w:r>
      <w:r>
        <w:t xml:space="preserve">), </w:t>
      </w:r>
      <w:r>
        <w:rPr>
          <w:rStyle w:val="Bold"/>
        </w:rPr>
        <w:t>Miriam Dalli</w:t>
      </w:r>
      <w:r>
        <w:t xml:space="preserve"> (</w:t>
      </w:r>
      <w:r>
        <w:t>S&amp;D</w:t>
      </w:r>
      <w:r>
        <w:t xml:space="preserve">), </w:t>
      </w:r>
      <w:r>
        <w:rPr>
          <w:rStyle w:val="Bold"/>
        </w:rPr>
        <w:t>Jadwiga Wiśniewska</w:t>
      </w:r>
      <w:r>
        <w:t xml:space="preserve"> (</w:t>
      </w:r>
      <w:r>
        <w:t>ECR</w:t>
      </w:r>
      <w:r>
        <w:t xml:space="preserve">), </w:t>
      </w:r>
      <w:r>
        <w:rPr>
          <w:rStyle w:val="Bold"/>
        </w:rPr>
        <w:t>Alviina Alametsä</w:t>
      </w:r>
      <w:r>
        <w:t xml:space="preserve"> (</w:t>
      </w:r>
      <w:r>
        <w:t>Verts/ALE</w:t>
      </w:r>
      <w:r>
        <w:t xml:space="preserve">), </w:t>
      </w:r>
      <w:r>
        <w:rPr>
          <w:rStyle w:val="Bold"/>
        </w:rPr>
        <w:t>Brando Benifei</w:t>
      </w:r>
      <w:r>
        <w:t xml:space="preserve"> (</w:t>
      </w:r>
      <w:r>
        <w:t>S&amp;D</w:t>
      </w:r>
      <w:r>
        <w:t>)</w:t>
      </w:r>
    </w:p>
    <w:p>
      <w:pPr>
        <w:pStyle w:val="Subject"/>
      </w:pPr>
      <w:r>
        <w:t>Oggetto</w:t>
      </w:r>
      <w:r>
        <w:t>:</w:t>
      </w:r>
      <w:r>
        <w:tab/>
      </w:r>
      <w:r>
        <w:t>Punti di contatto per la disabilità</w:t>
      </w:r>
    </w:p>
    <w:p>
      <w:pPr>
        <w:pStyle w:val="Body"/>
      </w:pPr>
      <w:r>
        <w:t>Già nel 2015, il comitato delle Nazioni Unite sui diritti delle persone con disabilità (CRPD) nelle sue osservazioni conclusive ha raccomandato la designazione di punti di contatto per la disabilità in tutte le direzioni generali (DG) e agenzie della Commissione e in tutte le istituzioni dell'UE, insieme alla creazione di un meccanismo di coordinamento interistituzionale. La raccomandazione è contenuta anche in diverse risoluzioni del Parlamento europeo </w:t>
      </w:r>
      <w:r>
        <w:rPr>
          <w:rStyle w:val="FootnoteReference"/>
        </w:rPr>
        <w:footnoteReference w:id="0"/>
      </w:r>
      <w:r>
        <w:t xml:space="preserve"> ed è stata altresì formulata dal Comitato economico e sociale europeo.</w:t>
      </w:r>
    </w:p>
    <w:p>
      <w:pPr>
        <w:pStyle w:val="Body"/>
      </w:pPr>
      <w:r>
        <w:t>Ciononostante, i punti di contatto per la disabilità non sono ancora stati istituiti. L'unica eccezione è lo spazio dedicato alla convenzione delle Nazioni Unite sui diritti delle persone con disabilità nell'Unità Disabilità della DG Occupazione, affari Sociali e inclusione della Commissione </w:t>
      </w:r>
      <w:r>
        <w:rPr>
          <w:rStyle w:val="FootnoteReference"/>
        </w:rPr>
        <w:footnoteReference w:id="1"/>
      </w:r>
      <w:r>
        <w:t xml:space="preserve"> .</w:t>
      </w:r>
    </w:p>
    <w:p>
      <w:pPr>
        <w:pStyle w:val="itemList"/>
      </w:pPr>
      <w:r>
        <w:t>1.</w:t>
      </w:r>
      <w:r>
        <w:tab/>
      </w:r>
      <w:r>
        <w:t>Quando prevede la Commissione di istituire punti di contatto per la disabilità in tutte le sue DG e agenzie, creando il punto di contatto principale in seno al Segretariato generale onde riflettere la natura trasversale delle questioni relative alla disabilità e per garantire l'integrazione della disabilità nell'insieme della legislazione e delle politiche dell'UE?</w:t>
      </w:r>
    </w:p>
    <w:p>
      <w:pPr>
        <w:pStyle w:val="itemList"/>
      </w:pPr>
      <w:r>
        <w:t>2.</w:t>
      </w:r>
      <w:r>
        <w:tab/>
      </w:r>
      <w:r>
        <w:t>Quale meccanismo prevede la Commissione per il coordinamento tra i punti di contatto per la disabilità nelle istituzioni dell'UE e qual è la situazione attuale riguardante coordinamento tra le istituzioni dell'UE sulle questioni relative alla convenzione?</w:t>
      </w:r>
    </w:p>
    <w:p>
      <w:pPr>
        <w:pStyle w:val="itemList"/>
      </w:pPr>
      <w:r>
        <w:t>3.</w:t>
      </w:r>
      <w:r>
        <w:tab/>
      </w:r>
      <w:r>
        <w:t>Quali le prove esistono di tale coordinamento, su quali risorse poggia e quali risultati osservabili può indicare la Commissione al riguardo?</w:t>
      </w:r>
    </w:p>
    <w:p>
      <w:pPr>
        <w:pStyle w:val="Supporter"/>
      </w:pPr>
      <w:r>
        <w:rPr>
          <w:rStyle w:val="Bold"/>
        </w:rPr>
        <w:t>Sostenitore</w:t>
      </w:r>
      <w:r>
        <w:rPr>
          <w:rStyle w:val="FootnoteReference"/>
        </w:rPr>
        <w:footnoteReference w:id="2"/>
      </w:r>
    </w:p>
    <w:sectPr>
      <w:footerReference w:type="even" r:id="rId5"/>
      <w:footerReference w:type="default" r:id="rId6"/>
      <w:footerReference w:type="first" r:id="rId7"/>
      <w:pgSz w:w="11906" w:h="16838"/>
      <w:pgMar w:top="1440" w:right="1440" w:bottom="2000" w:left="1440" w:header="568" w:footer="568"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PE654.464v01-00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PE654.464v01-00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PE654.464v01-00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pPr>
      <w:r>
        <w:rPr>
          <w:rStyle w:val="FootnoteReference"/>
        </w:rPr>
        <w:footnoteRef/>
      </w:r>
      <w:r>
        <w:t xml:space="preserve"> </w:t>
      </w:r>
      <w:r>
        <w:tab/>
      </w:r>
      <w:r>
        <w:t>Risoluzione del Parlamento europeo del 7 luglio 2016 sull'attuazione della Convenzione delle Nazioni Unite sui diritti delle persone con disabilità, con particolare riferimento alle osservazioni conclusive del comitato CRPD delle Nazioni Unite, GU C 101 del 16.3.2018, pag. 138; risoluzione del Parlamento europeo del 30 novembre 2017 sull'attuazione della strategia europea sulla disabilità, GU C 356 del 4.10.2018, pag. 110; e risoluzione del Parlamento europeo del 18 giugno 2020 sulla strategia europea sulla disabilità post-2020, Testi approvati, P9_TA(2020)0156.</w:t>
      </w:r>
    </w:p>
  </w:footnote>
  <w:footnote w:id="1">
    <w:p>
      <w:pPr>
        <w:pStyle w:val="FootnoteText"/>
      </w:pPr>
      <w:r>
        <w:rPr>
          <w:rStyle w:val="FootnoteReference"/>
        </w:rPr>
        <w:footnoteRef/>
      </w:r>
      <w:r>
        <w:t xml:space="preserve"> </w:t>
      </w:r>
      <w:r>
        <w:tab/>
      </w:r>
      <w:r>
        <w:t>Le commissioni parlamentari per l'occupazione e gli affari sociali e per i diritti delle donne e l'uguaglianza di genere hanno raccomandato alla commissaria Dalli di sostenere il trasferimento dell'Unità Disabilità al Segretariato generale</w:t>
      </w:r>
    </w:p>
  </w:footnote>
  <w:footnote w:id="2">
    <w:p>
      <w:pPr>
        <w:pStyle w:val="FootnoteText"/>
      </w:pPr>
      <w:r>
        <w:rPr>
          <w:rStyle w:val="FootnoteReference"/>
        </w:rPr>
        <w:footnoteRef/>
      </w:r>
      <w:r>
        <w:t xml:space="preserve"> </w:t>
      </w:r>
      <w:r>
        <w:tab/>
        <w:t>La presente interrogazione è sostenuta da un deputato diverso dagli autori: Sylwia Spurek (S&amp;D)</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tabs>
        <w:tab w:val="left" w:pos="425"/>
        <w:tab w:val="left" w:pos="851"/>
        <w:tab w:val="left" w:pos="1276"/>
      </w:tabs>
      <w:spacing w:after="240"/>
    </w:pPr>
    <w:rPr>
      <w:rFonts w:ascii="Arial" w:hAnsi="Arial"/>
    </w:rPr>
  </w:style>
  <w:style w:type="paragraph" w:styleId="Heading1">
    <w:name w:val="heading 1"/>
    <w:basedOn w:val="Normal"/>
    <w:next w:val="Normal"/>
    <w:link w:val="Heading1Char"/>
    <w:qFormat/>
    <w:rsid w:val="004B33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styleId="FootnoteReference">
    <w:name w:val="footnote reference"/>
    <w:rsid w:val="00782D12"/>
    <w:rPr>
      <w:rFonts w:ascii="Arial" w:hAnsi="Arial" w:cs="Arial"/>
      <w:b w:val="0"/>
      <w:i w:val="0"/>
      <w:caps w:val="0"/>
      <w:smallCaps w:val="0"/>
      <w:strike w:val="0"/>
      <w:dstrike w:val="0"/>
      <w:vanish w:val="0"/>
      <w:color w:val="auto"/>
      <w:spacing w:val="0"/>
      <w:w w:val="100"/>
      <w:kern w:val="0"/>
      <w:position w:val="0"/>
      <w:sz w:val="18"/>
      <w:u w:val="none"/>
      <w:effect w:val="none"/>
      <w:vertAlign w:val="superscript"/>
    </w:rPr>
  </w:style>
  <w:style w:type="paragraph" w:styleId="Header">
    <w:name w:val="header"/>
    <w:basedOn w:val="Normal"/>
    <w:pPr>
      <w:tabs>
        <w:tab w:val="center" w:pos="4153"/>
        <w:tab w:val="right" w:pos="8306"/>
      </w:tabs>
    </w:pPr>
  </w:style>
  <w:style w:type="paragraph" w:styleId="Footer">
    <w:name w:val="footer"/>
    <w:basedOn w:val="Normal"/>
    <w:rsid w:val="00F816F6"/>
    <w:pPr>
      <w:tabs>
        <w:tab w:val="clear" w:pos="425"/>
        <w:tab w:val="clear" w:pos="851"/>
        <w:tab w:val="clear" w:pos="1276"/>
        <w:tab w:val="center" w:pos="4536"/>
        <w:tab w:val="right" w:pos="9072"/>
      </w:tabs>
      <w:spacing w:before="240"/>
    </w:pPr>
    <w:rPr>
      <w:snapToGrid w:val="0"/>
      <w:sz w:val="22"/>
    </w:rPr>
  </w:style>
  <w:style w:type="character" w:styleId="PageNumber">
    <w:name w:val="page number"/>
    <w:basedOn w:val="DefaultParagraphFont"/>
  </w:style>
  <w:style w:type="paragraph" w:styleId="FootnoteText">
    <w:name w:val="footnote text"/>
    <w:semiHidden/>
    <w:rsid w:val="003D124A"/>
    <w:pPr>
      <w:tabs>
        <w:tab w:val="left" w:pos="284"/>
      </w:tabs>
      <w:ind w:left="284" w:hanging="284"/>
    </w:pPr>
    <w:rPr>
      <w:rFonts w:ascii="Arial" w:hAnsi="Arial"/>
      <w:sz w:val="18"/>
    </w:rPr>
  </w:style>
  <w:style w:type="paragraph" w:styleId="BalloonText">
    <w:name w:val="Balloon Text"/>
    <w:basedOn w:val="Normal"/>
    <w:semiHidden/>
    <w:rsid w:val="00CD005F"/>
    <w:rPr>
      <w:rFonts w:ascii="Tahoma" w:hAnsi="Tahoma" w:cs="Tahoma"/>
      <w:sz w:val="16"/>
      <w:szCs w:val="16"/>
    </w:rPr>
  </w:style>
  <w:style w:type="character" w:customStyle="1" w:styleId="Bold">
    <w:name w:val="Bold"/>
    <w:basedOn w:val="DefaultParagraphFont"/>
    <w:uiPriority w:val="1"/>
    <w:qFormat/>
    <w:rsid w:val="00344A81"/>
    <w:rPr>
      <w:rFonts w:ascii="Arial" w:hAnsi="Arial"/>
      <w:b/>
      <w:sz w:val="20"/>
    </w:rPr>
  </w:style>
  <w:style w:type="character" w:customStyle="1" w:styleId="Heading1Char">
    <w:name w:val="Heading 1 Char"/>
    <w:basedOn w:val="DefaultParagraphFont"/>
    <w:link w:val="Heading1"/>
    <w:rsid w:val="004B3311"/>
    <w:rPr>
      <w:rFonts w:asciiTheme="majorHAnsi" w:eastAsiaTheme="majorEastAsia" w:hAnsiTheme="majorHAnsi" w:cstheme="majorBidi"/>
      <w:b/>
      <w:bCs/>
      <w:snapToGrid w:val="0"/>
      <w:color w:val="365F91" w:themeColor="accent1" w:themeShade="BF"/>
      <w:sz w:val="28"/>
      <w:szCs w:val="28"/>
      <w:lang w:eastAsia="en-US"/>
    </w:rPr>
  </w:style>
  <w:style w:type="paragraph" w:customStyle="1" w:styleId="Arial10">
    <w:name w:val="Arial10"/>
    <w:qFormat/>
    <w:rsid w:val="003A12E2"/>
    <w:rPr>
      <w:rFonts w:ascii="Arial" w:hAnsi="Arial"/>
    </w:rPr>
  </w:style>
  <w:style w:type="character" w:styleId="Hyperlink">
    <w:name w:val="Hyperlink"/>
    <w:basedOn w:val="DefaultParagraphFont"/>
    <w:uiPriority w:val="99"/>
    <w:unhideWhenUsed/>
    <w:rsid w:val="008E6344"/>
    <w:rPr>
      <w:color w:val="0000FF"/>
      <w:u w:val="single"/>
    </w:rPr>
  </w:style>
  <w:style w:type="paragraph" w:customStyle="1" w:styleId="Arial10After10">
    <w:name w:val="Arial10After10"/>
    <w:basedOn w:val="Arial10"/>
    <w:qFormat/>
    <w:rsid w:val="008E6344"/>
    <w:pPr>
      <w:spacing w:after="200"/>
    </w:pPr>
  </w:style>
  <w:style w:type="paragraph" w:customStyle="1" w:styleId="Subject">
    <w:name w:val="Subject"/>
    <w:basedOn w:val="Arial10"/>
    <w:qFormat/>
    <w:rsid w:val="00E275FC"/>
    <w:pPr>
      <w:tabs>
        <w:tab w:val="left" w:pos="1134"/>
      </w:tabs>
      <w:spacing w:after="240"/>
      <w:ind w:left="1134" w:hanging="1134"/>
    </w:pPr>
  </w:style>
  <w:style w:type="paragraph" w:customStyle="1" w:styleId="Body">
    <w:name w:val="Body"/>
    <w:qFormat/>
    <w:rsid w:val="006822FA"/>
    <w:pPr>
      <w:tabs>
        <w:tab w:val="left" w:pos="425"/>
        <w:tab w:val="left" w:pos="851"/>
        <w:tab w:val="left" w:pos="1276"/>
      </w:tabs>
      <w:spacing w:after="240"/>
    </w:pPr>
    <w:rPr>
      <w:rFonts w:ascii="Arial" w:hAnsi="Arial"/>
    </w:rPr>
  </w:style>
  <w:style w:type="paragraph" w:customStyle="1" w:styleId="LeftHanging">
    <w:name w:val="LeftHanging"/>
    <w:qFormat/>
    <w:rsid w:val="00BD0F1F"/>
    <w:pPr>
      <w:spacing w:before="240"/>
      <w:ind w:left="425" w:hanging="425"/>
    </w:pPr>
    <w:rPr>
      <w:rFonts w:ascii="Arial" w:hAnsi="Arial"/>
    </w:rPr>
  </w:style>
  <w:style w:type="paragraph" w:customStyle="1" w:styleId="LeftHangingAfter">
    <w:name w:val="LeftHangingAfter"/>
    <w:basedOn w:val="LeftHanging"/>
    <w:qFormat/>
    <w:rsid w:val="00AB7C55"/>
    <w:pPr>
      <w:spacing w:before="0"/>
    </w:pPr>
  </w:style>
  <w:style w:type="paragraph" w:customStyle="1" w:styleId="itemList">
    <w:name w:val="itemList"/>
    <w:qFormat/>
    <w:rsid w:val="005024D7"/>
    <w:pPr>
      <w:tabs>
        <w:tab w:val="left" w:pos="425"/>
        <w:tab w:val="left" w:pos="851"/>
        <w:tab w:val="left" w:pos="1276"/>
      </w:tabs>
      <w:spacing w:after="240"/>
      <w:ind w:left="425" w:hanging="425"/>
    </w:pPr>
    <w:rPr>
      <w:rFonts w:ascii="Arial" w:hAnsi="Arial"/>
    </w:rPr>
  </w:style>
  <w:style w:type="paragraph" w:customStyle="1" w:styleId="Supporter">
    <w:name w:val="Supporter"/>
    <w:basedOn w:val="Body"/>
    <w:qFormat/>
    <w:rsid w:val="00CD50AF"/>
    <w:pPr>
      <w:spacing w:before="840"/>
    </w:pPr>
  </w:style>
  <w:style w:type="paragraph" w:customStyle="1" w:styleId="Footer2">
    <w:name w:val="Footer2"/>
    <w:basedOn w:val="Normal"/>
    <w:link w:val="Footer2Char"/>
    <w:qFormat/>
    <w:rsid w:val="000B4A67"/>
    <w:pPr>
      <w:tabs>
        <w:tab w:val="clear" w:pos="425"/>
        <w:tab w:val="clear" w:pos="851"/>
        <w:tab w:val="clear" w:pos="1276"/>
        <w:tab w:val="center" w:pos="4536"/>
        <w:tab w:val="right" w:pos="9923"/>
      </w:tabs>
      <w:ind w:left="-851" w:right="-851"/>
    </w:pPr>
    <w:rPr>
      <w:sz w:val="48"/>
    </w:rPr>
  </w:style>
  <w:style w:type="character" w:customStyle="1" w:styleId="Footer2Lang">
    <w:name w:val="Footer2Lang"/>
    <w:uiPriority w:val="1"/>
    <w:qFormat/>
    <w:rsid w:val="000B4A67"/>
    <w:rPr>
      <w:rFonts w:ascii="Arial" w:hAnsi="Arial"/>
      <w:b/>
      <w:sz w:val="48"/>
    </w:rPr>
  </w:style>
  <w:style w:type="character" w:customStyle="1" w:styleId="Footer2Char">
    <w:name w:val="Footer2 Char"/>
    <w:basedOn w:val="DefaultParagraphFont"/>
    <w:link w:val="Footer2"/>
    <w:rsid w:val="000B4A67"/>
    <w:rPr>
      <w:rFonts w:ascii="Arial" w:hAnsi="Arial"/>
      <w:sz w:val="48"/>
    </w:rPr>
  </w:style>
  <w:style w:type="character" w:customStyle="1" w:styleId="Footer2Middle">
    <w:name w:val="Footer2Middle"/>
    <w:uiPriority w:val="1"/>
    <w:qFormat/>
    <w:rsid w:val="000B4A67"/>
    <w:rPr>
      <w:rFonts w:ascii="Arial" w:hAnsi="Arial"/>
      <w:i/>
      <w:color w:val="BFBFBF" w:themeColor="background1" w:themeShade="BF"/>
      <w:sz w:val="22"/>
    </w:rPr>
  </w:style>
  <w:style w:type="paragraph" w:customStyle="1" w:styleId="SessionDocument">
    <w:name w:val="SessionDocument"/>
    <w:qFormat/>
    <w:rsid w:val="00F63011"/>
    <w:pPr>
      <w:jc w:val="center"/>
    </w:pPr>
    <w:rPr>
      <w:rFonts w:ascii="Arial" w:hAnsi="Arial"/>
      <w:i/>
      <w:sz w:val="22"/>
    </w:rPr>
  </w:style>
  <w:style w:type="paragraph" w:customStyle="1" w:styleId="LineBottom">
    <w:name w:val="LineBottom"/>
    <w:qFormat/>
    <w:rsid w:val="00C01FA6"/>
    <w:pPr>
      <w:pBdr>
        <w:bottom w:val="single" w:sz="4" w:space="1" w:color="auto"/>
      </w:pBdr>
      <w:spacing w:after="1080"/>
      <w:jc w:val="center"/>
    </w:pPr>
    <w:rPr>
      <w:rFonts w:ascii="Arial" w:hAnsi="Arial"/>
      <w:sz w:val="16"/>
    </w:rPr>
  </w:style>
  <w:style w:type="paragraph" w:customStyle="1" w:styleId="LineTop">
    <w:name w:val="LineTop"/>
    <w:next w:val="SessionDocument"/>
    <w:qFormat/>
    <w:rsid w:val="00884286"/>
    <w:pPr>
      <w:pBdr>
        <w:top w:val="single" w:sz="4" w:space="1" w:color="auto"/>
      </w:pBdr>
    </w:pPr>
    <w:rPr>
      <w:rFonts w:ascii="Arial" w:hAnsi="Arial"/>
      <w:sz w:val="16"/>
    </w:rPr>
  </w:style>
  <w:style w:type="paragraph" w:customStyle="1" w:styleId="EPLogo">
    <w:name w:val="EPLogo"/>
    <w:basedOn w:val="Normal"/>
    <w:qFormat/>
    <w:rsid w:val="00A05278"/>
    <w:pPr>
      <w:jc w:val="right"/>
    </w:pPr>
  </w:style>
  <w:style w:type="paragraph" w:customStyle="1" w:styleId="EPName">
    <w:name w:val="EPName"/>
    <w:basedOn w:val="Normal"/>
    <w:qFormat/>
    <w:rsid w:val="00475435"/>
    <w:pPr>
      <w:spacing w:before="80" w:after="80"/>
    </w:pPr>
    <w:rPr>
      <w:rFonts w:ascii="Arial Narrow" w:hAnsi="Arial Narrow"/>
      <w:b/>
      <w:color w:val="000000" w:themeColor="text1"/>
      <w:sz w:val="32"/>
    </w:rPr>
  </w:style>
  <w:style w:type="paragraph" w:customStyle="1" w:styleId="EPTerm">
    <w:name w:val="EPTerm"/>
    <w:basedOn w:val="Normal"/>
    <w:next w:val="Normal"/>
    <w:qFormat/>
    <w:rsid w:val="00475435"/>
    <w:pPr>
      <w:spacing w:after="80"/>
    </w:pPr>
  </w:style>
  <w:style w:type="paragraph" w:customStyle="1" w:styleId="Arial10Date">
    <w:name w:val="Arial10Date"/>
    <w:basedOn w:val="Arial10"/>
    <w:qFormat/>
    <w:rsid w:val="00E258AE"/>
    <w:pPr>
      <w:tabs>
        <w:tab w:val="left" w:pos="0"/>
        <w:tab w:val="right" w:pos="9072"/>
      </w:tabs>
      <w:spacing w:after="400"/>
    </w:pPr>
  </w:style>
  <w:style w:type="character" w:customStyle="1" w:styleId="HideTWBExt">
    <w:name w:val="HideTWBExt"/>
    <w:uiPriority w:val="1"/>
    <w:qFormat/>
    <w:rsid w:val="00DC6131"/>
    <w:rPr>
      <w:rFonts w:ascii="Arial" w:hAnsi="Arial"/>
      <w:vanish/>
      <w:color w:val="1F497D" w:themeColor="text2"/>
      <w:sz w:val="20"/>
    </w:rPr>
  </w:style>
  <w:style w:type="character" w:customStyle="1" w:styleId="Italic">
    <w:name w:val="Italic"/>
    <w:uiPriority w:val="1"/>
    <w:qFormat/>
    <w:rsid w:val="00644428"/>
    <w:rPr>
      <w:i/>
    </w:rPr>
  </w:style>
  <w:style w:type="character" w:customStyle="1" w:styleId="Sub">
    <w:name w:val="Sub"/>
    <w:uiPriority w:val="1"/>
    <w:qFormat/>
    <w:rsid w:val="00776240"/>
    <w:rPr>
      <w:vertAlign w:val="subscript"/>
    </w:rPr>
  </w:style>
  <w:style w:type="character" w:customStyle="1" w:styleId="Sup">
    <w:name w:val="Sup"/>
    <w:uiPriority w:val="1"/>
    <w:qFormat/>
    <w:rsid w:val="00776240"/>
    <w:rPr>
      <w:vertAlign w:val="superscript"/>
    </w:rPr>
  </w:style>
  <w:style w:type="character" w:customStyle="1" w:styleId="ItalicSub">
    <w:name w:val="ItalicSub"/>
    <w:uiPriority w:val="1"/>
    <w:qFormat/>
    <w:rsid w:val="00776240"/>
    <w:rPr>
      <w:i/>
      <w:vertAlign w:val="subscript"/>
    </w:rPr>
  </w:style>
  <w:style w:type="character" w:customStyle="1" w:styleId="ItalicSup">
    <w:name w:val="ItalicSup"/>
    <w:uiPriority w:val="1"/>
    <w:qFormat/>
    <w:rsid w:val="00776240"/>
    <w:rPr>
      <w:i/>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Interrogazione con richiesta di risposta scritta</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UID">
    <vt:lpwstr>20200717-125729-176497-957853</vt:lpwstr>
  </property>
</Properties>
</file>