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Klausimas, į kurį atsakoma raštu E-004915/2020</w:t>
      </w:r>
    </w:p>
    <w:p>
      <w:pPr>
        <w:pStyle w:val="Arial10"/>
      </w:pPr>
      <w:r>
        <w:rPr>
          <w:rStyle w:val="Bold"/>
        </w:rPr>
        <w:t xml:space="preserve">Komisijos pirmininko pavaduotojui ir Sąjungos vyriausiajam įgaliotiniui užsienio reikalams ir saugumo politikai </w:t>
      </w:r>
    </w:p>
    <w:p>
      <w:pPr>
        <w:pStyle w:val="Arial10"/>
      </w:pPr>
      <w:r>
        <w:t>Darbo tvarkos taisyklių 138 straipsnis</w:t>
      </w:r>
    </w:p>
    <w:p>
      <w:pPr>
        <w:pStyle w:val="Arial10After10"/>
      </w:pPr>
      <w:r>
        <w:rPr>
          <w:rStyle w:val="Bold"/>
        </w:rPr>
        <w:t>Irène Tolleret</w:t>
      </w:r>
      <w:r>
        <w:t xml:space="preserve"> (</w:t>
      </w:r>
      <w:r>
        <w:t>Renew</w:t>
      </w:r>
      <w:r>
        <w:t xml:space="preserve">), </w:t>
      </w:r>
      <w:r>
        <w:rPr>
          <w:rStyle w:val="Bold"/>
        </w:rPr>
        <w:t>Ilana Cicurel</w:t>
      </w:r>
      <w:r>
        <w:t xml:space="preserve"> (</w:t>
      </w:r>
      <w:r>
        <w:t>Renew</w:t>
      </w:r>
      <w:r>
        <w:t xml:space="preserve">), </w:t>
      </w:r>
      <w:r>
        <w:rPr>
          <w:rStyle w:val="Bold"/>
        </w:rPr>
        <w:t>Laurence Farreng</w:t>
      </w:r>
      <w:r>
        <w:t xml:space="preserve"> (</w:t>
      </w:r>
      <w:r>
        <w:t>Renew</w:t>
      </w:r>
      <w:r>
        <w:t xml:space="preserve">), </w:t>
      </w:r>
      <w:r>
        <w:rPr>
          <w:rStyle w:val="Bold"/>
        </w:rPr>
        <w:t>Nathalie Loiseau</w:t>
      </w:r>
      <w:r>
        <w:t xml:space="preserve"> (</w:t>
      </w:r>
      <w:r>
        <w:t>Renew</w:t>
      </w:r>
      <w:r>
        <w:t xml:space="preserve">), </w:t>
      </w:r>
      <w:r>
        <w:rPr>
          <w:rStyle w:val="Bold"/>
        </w:rPr>
        <w:t>Bernard Guetta</w:t>
      </w:r>
      <w:r>
        <w:t xml:space="preserve"> (</w:t>
      </w:r>
      <w:r>
        <w:t>Renew</w:t>
      </w:r>
      <w:r>
        <w:t xml:space="preserve">), </w:t>
      </w:r>
      <w:r>
        <w:rPr>
          <w:rStyle w:val="Bold"/>
        </w:rPr>
        <w:t>Stéphanie Yon-Courtin</w:t>
      </w:r>
      <w:r>
        <w:t xml:space="preserve"> (</w:t>
      </w:r>
      <w:r>
        <w:t>Renew</w:t>
      </w:r>
      <w:r>
        <w:t xml:space="preserve">), </w:t>
      </w:r>
      <w:r>
        <w:rPr>
          <w:rStyle w:val="Bold"/>
        </w:rPr>
        <w:t>Marie-Pierre Vedrenne</w:t>
      </w:r>
      <w:r>
        <w:t xml:space="preserve"> (</w:t>
      </w:r>
      <w:r>
        <w:t>Renew</w:t>
      </w:r>
      <w:r>
        <w:t xml:space="preserve">), </w:t>
      </w:r>
      <w:r>
        <w:rPr>
          <w:rStyle w:val="Bold"/>
        </w:rPr>
        <w:t>Christophe Grudler</w:t>
      </w:r>
      <w:r>
        <w:t xml:space="preserve"> (</w:t>
      </w:r>
      <w:r>
        <w:t>Renew</w:t>
      </w:r>
      <w:r>
        <w:t xml:space="preserve">), </w:t>
      </w:r>
      <w:r>
        <w:rPr>
          <w:rStyle w:val="Bold"/>
        </w:rPr>
        <w:t>Pascal Durand</w:t>
      </w:r>
      <w:r>
        <w:t xml:space="preserve"> (</w:t>
      </w:r>
      <w:r>
        <w:t>Renew</w:t>
      </w:r>
      <w:r>
        <w:t xml:space="preserve">), </w:t>
      </w:r>
      <w:r>
        <w:rPr>
          <w:rStyle w:val="Bold"/>
        </w:rPr>
        <w:t>Véronique Trillet-Lenoir</w:t>
      </w:r>
      <w:r>
        <w:t xml:space="preserve"> (</w:t>
      </w:r>
      <w:r>
        <w:t>Renew</w:t>
      </w:r>
      <w:r>
        <w:t xml:space="preserve">), </w:t>
      </w:r>
      <w:r>
        <w:rPr>
          <w:rStyle w:val="Bold"/>
        </w:rPr>
        <w:t>Sandro Gozi</w:t>
      </w:r>
      <w:r>
        <w:t xml:space="preserve"> (</w:t>
      </w:r>
      <w:r>
        <w:t>Renew</w:t>
      </w:r>
      <w:r>
        <w:t xml:space="preserve">), </w:t>
      </w:r>
      <w:r>
        <w:rPr>
          <w:rStyle w:val="Bold"/>
        </w:rPr>
        <w:t>Sylvie Brunet</w:t>
      </w:r>
      <w:r>
        <w:t xml:space="preserve"> (</w:t>
      </w:r>
      <w:r>
        <w:t>Renew</w:t>
      </w:r>
      <w:r>
        <w:t xml:space="preserve">), </w:t>
      </w:r>
      <w:r>
        <w:rPr>
          <w:rStyle w:val="Bold"/>
        </w:rPr>
        <w:t>Valérie Hayer</w:t>
      </w:r>
      <w:r>
        <w:t xml:space="preserve"> (</w:t>
      </w:r>
      <w:r>
        <w:t>Renew</w:t>
      </w:r>
      <w:r>
        <w:t xml:space="preserve">), </w:t>
      </w:r>
      <w:r>
        <w:rPr>
          <w:rStyle w:val="Bold"/>
        </w:rPr>
        <w:t>Chrysoula Zacharopoulou</w:t>
      </w:r>
      <w:r>
        <w:t xml:space="preserve"> (</w:t>
      </w:r>
      <w:r>
        <w:t>Renew</w:t>
      </w:r>
      <w:r>
        <w:t xml:space="preserve">), </w:t>
      </w:r>
      <w:r>
        <w:rPr>
          <w:rStyle w:val="Bold"/>
        </w:rPr>
        <w:t>Hilde Vautmans</w:t>
      </w:r>
      <w:r>
        <w:t xml:space="preserve"> (</w:t>
      </w:r>
      <w:r>
        <w:t>Renew</w:t>
      </w:r>
      <w:r>
        <w:t xml:space="preserve">), </w:t>
      </w:r>
      <w:r>
        <w:rPr>
          <w:rStyle w:val="Bold"/>
        </w:rPr>
        <w:t>Karen Melchior</w:t>
      </w:r>
      <w:r>
        <w:t xml:space="preserve"> (</w:t>
      </w:r>
      <w:r>
        <w:t>Renew</w:t>
      </w:r>
      <w:r>
        <w:t xml:space="preserve">), </w:t>
      </w:r>
      <w:r>
        <w:rPr>
          <w:rStyle w:val="Bold"/>
        </w:rPr>
        <w:t>Klemen Grošelj</w:t>
      </w:r>
      <w:r>
        <w:t xml:space="preserve"> (</w:t>
      </w:r>
      <w:r>
        <w:t>Renew</w:t>
      </w:r>
      <w:r>
        <w:t xml:space="preserve">), </w:t>
      </w:r>
      <w:r>
        <w:rPr>
          <w:rStyle w:val="Bold"/>
        </w:rPr>
        <w:t>Petras Auštrevičius</w:t>
      </w:r>
      <w:r>
        <w:t xml:space="preserve"> (</w:t>
      </w:r>
      <w:r>
        <w:t>Renew</w:t>
      </w:r>
      <w:r>
        <w:t xml:space="preserve">), </w:t>
      </w:r>
      <w:r>
        <w:rPr>
          <w:rStyle w:val="Bold"/>
        </w:rPr>
        <w:t>Olivier Chastel</w:t>
      </w:r>
      <w:r>
        <w:t xml:space="preserve"> (</w:t>
      </w:r>
      <w:r>
        <w:t>Renew</w:t>
      </w:r>
      <w:r>
        <w:t xml:space="preserve">), </w:t>
      </w:r>
      <w:r>
        <w:rPr>
          <w:rStyle w:val="Bold"/>
        </w:rPr>
        <w:t>Pierre Karleskind</w:t>
      </w:r>
      <w:r>
        <w:t xml:space="preserve"> (</w:t>
      </w:r>
      <w:r>
        <w:t>Renew</w:t>
      </w:r>
      <w:r>
        <w:t xml:space="preserve">), </w:t>
      </w:r>
      <w:r>
        <w:rPr>
          <w:rStyle w:val="Bold"/>
        </w:rPr>
        <w:t>Stéphane Bijoux</w:t>
      </w:r>
      <w:r>
        <w:t xml:space="preserve"> (</w:t>
      </w:r>
      <w:r>
        <w:t>Renew</w:t>
      </w:r>
      <w:r>
        <w:t xml:space="preserve">), </w:t>
      </w:r>
      <w:r>
        <w:rPr>
          <w:rStyle w:val="Bold"/>
        </w:rPr>
        <w:t>Abir Al-Sahlani</w:t>
      </w:r>
      <w:r>
        <w:t xml:space="preserve"> (</w:t>
      </w:r>
      <w:r>
        <w:t>Renew</w:t>
      </w:r>
      <w:r>
        <w:t xml:space="preserve">), </w:t>
      </w:r>
      <w:r>
        <w:rPr>
          <w:rStyle w:val="Bold"/>
        </w:rPr>
        <w:t>Fabienne Keller</w:t>
      </w:r>
      <w:r>
        <w:t xml:space="preserve"> (</w:t>
      </w:r>
      <w:r>
        <w:t>Renew</w:t>
      </w:r>
      <w:r>
        <w:t xml:space="preserve">), </w:t>
      </w:r>
      <w:r>
        <w:rPr>
          <w:rStyle w:val="Bold"/>
        </w:rPr>
        <w:t>Bart Groothuis</w:t>
      </w:r>
      <w:r>
        <w:t xml:space="preserve"> (</w:t>
      </w:r>
      <w:r>
        <w:t>Renew</w:t>
      </w:r>
      <w:r>
        <w:t xml:space="preserve">), </w:t>
      </w:r>
      <w:r>
        <w:rPr>
          <w:rStyle w:val="Bold"/>
        </w:rPr>
        <w:t>Jan-Christoph Oetjen</w:t>
      </w:r>
      <w:r>
        <w:t xml:space="preserve"> (</w:t>
      </w:r>
      <w:r>
        <w:t>Renew</w:t>
      </w:r>
      <w:r>
        <w:t>)</w:t>
      </w:r>
    </w:p>
    <w:p>
      <w:pPr>
        <w:pStyle w:val="Subject"/>
      </w:pPr>
      <w:r>
        <w:t>Tema</w:t>
      </w:r>
      <w:r>
        <w:t>:</w:t>
      </w:r>
      <w:r>
        <w:tab/>
      </w:r>
      <w:r>
        <w:t>Raginimas išlaisvinti Irano teisininkę ir kovotoją už žmogaus teises Nasrin Sotoudeh</w:t>
      </w:r>
    </w:p>
    <w:p>
      <w:pPr>
        <w:pStyle w:val="Body"/>
      </w:pPr>
      <w:r>
        <w:t>Irano teisininkei ir kovotojai už žmogaus teises Nasrin Sotoudeh, 2012 m. tapusiai Sacharovo premijos laureate, buvo skirta 33 metų kalėjimo ir 148 kirčių bausmė. Jai pateiktas ne vienas kaltinimas, įskaitant sąmokslą siekiant pakenkti nacionaliniam saugumui, melo skleidimą ir viešosios nuomonės drumstimą. Nuo 2018 m. birželio mėn. jai taikomas sulaikymas.</w:t>
      </w:r>
    </w:p>
    <w:p>
      <w:pPr>
        <w:pStyle w:val="Body"/>
      </w:pPr>
      <w:r>
        <w:t>Protestuodama prieš tolesnį žmogaus teisių gynėjų kalinimą Irane nepaisant pandemijos ir valdžios neveiklumo jos akivaizdoje, 2020 m. rugpjūčio 10 d. ji pradėjo bado streiką.</w:t>
      </w:r>
    </w:p>
    <w:p>
      <w:pPr>
        <w:pStyle w:val="Body"/>
      </w:pPr>
      <w:r>
        <w:t>Rugpjūčio 17 d. saugumo pajėgos suėmė jos dvidešimt vienerių metų amžiaus dukterį Mehraveh Khandan. Siekiant priversti jos motiną nutraukti bado streiką, mergina, kuriai buvo pateikti suklastoti kaltinimai įžeidimu ir užpuolimu, galiausiai atgavo laisvę už užstatą.</w:t>
      </w:r>
    </w:p>
    <w:p>
      <w:pPr>
        <w:pStyle w:val="Body"/>
      </w:pPr>
      <w:r>
        <w:t>Nuo pandemijos pradžios patvirtinti COVID-19 atvejai fiksuojami viso Irano kalėjimuose. Kaliniai, prašantys pareigūnų spręsti perpildymo ir antisanitarinių sąlygų problemas, skundžiasi tuo, kad jiems neužtikrinamos tokios pagrindinės teisės, kaip teisė pasirinkti advokatą ir teisė į teisingą bylos nagrinėjimą.</w:t>
      </w:r>
    </w:p>
    <w:p>
      <w:pPr>
        <w:pStyle w:val="Body"/>
      </w:pPr>
      <w:r>
        <w:t>Ar vyriausiasis įgaliotinis ir pirmininko pavaduotojas, atsižvelgdamas į pastarojo meto įvykius, ketina imtis konkrečių veiksmų ir dar kartą paraginti nedelsiant išlaisvinti Nasrin Sotoudeh bei nutraukti teisminį ir teisinį Nasrin Sotoudeh ir jos šeimos persekiojimą?</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PE658.129v01-00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PE658.129v01-00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PE658.129v01-00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Klausimas, į kurį atsakoma raštu</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20200921-165927-258831-723601</vt:lpwstr>
  </property>
</Properties>
</file>