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Otázka na písomné zodpovedanie  E-005582/2020</w:t>
      </w:r>
    </w:p>
    <w:p>
      <w:pPr>
        <w:pStyle w:val="Arial10"/>
      </w:pPr>
      <w:r>
        <w:rPr>
          <w:rStyle w:val="Bold"/>
        </w:rPr>
        <w:t xml:space="preserve">Komisii </w:t>
      </w:r>
    </w:p>
    <w:p>
      <w:pPr>
        <w:pStyle w:val="Arial10"/>
      </w:pPr>
      <w:r>
        <w:t>článok 138 rokovacieho poriadku</w:t>
      </w:r>
    </w:p>
    <w:p>
      <w:pPr>
        <w:pStyle w:val="Arial10After10"/>
      </w:pPr>
      <w:r>
        <w:rPr>
          <w:rStyle w:val="Bold"/>
        </w:rPr>
        <w:t>Ádám Kósa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Giorgos Georgiou</w:t>
      </w:r>
      <w:r>
        <w:t xml:space="preserve"> (</w:t>
      </w:r>
      <w:r>
        <w:t>GUE/NGL</w:t>
      </w:r>
      <w:r>
        <w:t xml:space="preserve">), </w:t>
      </w:r>
      <w:r>
        <w:rPr>
          <w:rStyle w:val="Bold"/>
        </w:rPr>
        <w:t>Alexis Georgoulis</w:t>
      </w:r>
      <w:r>
        <w:t xml:space="preserve"> (</w:t>
      </w:r>
      <w:r>
        <w:t>GUE/NGL</w:t>
      </w:r>
      <w:r>
        <w:t xml:space="preserve">), </w:t>
      </w:r>
      <w:r>
        <w:rPr>
          <w:rStyle w:val="Bold"/>
        </w:rPr>
        <w:t>Brando Benifei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Chiara Gemma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Marianne Vind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Milan Brglez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Josianne Cutajar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Ivan Štefanec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Chrysoula Zacharopoulou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Atidzhe Alieva-Veli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Loucas Fourlas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José Gusmão</w:t>
      </w:r>
      <w:r>
        <w:t xml:space="preserve"> (</w:t>
      </w:r>
      <w:r>
        <w:t>GUE/NGL</w:t>
      </w:r>
      <w:r>
        <w:t xml:space="preserve">), </w:t>
      </w:r>
      <w:r>
        <w:rPr>
          <w:rStyle w:val="Bold"/>
        </w:rPr>
        <w:t>Marisa Matias</w:t>
      </w:r>
      <w:r>
        <w:t xml:space="preserve"> (</w:t>
      </w:r>
      <w:r>
        <w:t>GUE/NGL</w:t>
      </w:r>
      <w:r>
        <w:t xml:space="preserve">), </w:t>
      </w:r>
      <w:r>
        <w:rPr>
          <w:rStyle w:val="Bold"/>
        </w:rPr>
        <w:t>Isabel Carvalhais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Dragoș Pîslaru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Anne-Sophie Pelletier</w:t>
      </w:r>
      <w:r>
        <w:t xml:space="preserve"> (</w:t>
      </w:r>
      <w:r>
        <w:t>GUE/NGL</w:t>
      </w:r>
      <w:r>
        <w:t xml:space="preserve">), </w:t>
      </w:r>
      <w:r>
        <w:rPr>
          <w:rStyle w:val="Bold"/>
        </w:rPr>
        <w:t>Alex Agius Saliba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Tanja Fajon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Rosa Estaràs Ferragut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Pascal Durand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Kim Van Sparrentak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Jarosław Duda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Samira Rafaela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Katrin Langensiepen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Younous Omarjee</w:t>
      </w:r>
      <w:r>
        <w:t xml:space="preserve"> (</w:t>
      </w:r>
      <w:r>
        <w:t>GUE/NGL</w:t>
      </w:r>
      <w:r>
        <w:t xml:space="preserve">), </w:t>
      </w:r>
      <w:r>
        <w:rPr>
          <w:rStyle w:val="Bold"/>
        </w:rPr>
        <w:t>Eva Kaili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Ibán García Del Blanco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Cindy Franssen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Benoît Lutgen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Estrella Durá Ferrandis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Mónica Silvana González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Alicia Homs Ginel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Abir Al-Sahlani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Maria Walsh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Radka Maxová</w:t>
      </w:r>
      <w:r>
        <w:t xml:space="preserve"> (</w:t>
      </w:r>
      <w:r>
        <w:t>Renew</w:t>
      </w:r>
      <w:r>
        <w:t>)</w:t>
      </w:r>
    </w:p>
    <w:p>
      <w:pPr>
        <w:pStyle w:val="Subject"/>
      </w:pPr>
      <w:r>
        <w:t>Vec</w:t>
      </w:r>
      <w:r>
        <w:t>:</w:t>
      </w:r>
      <w:r>
        <w:tab/>
      </w:r>
      <w:r>
        <w:t>Nevhodné pojmy používané Eurostatom</w:t>
      </w:r>
    </w:p>
    <w:p>
      <w:pPr>
        <w:pStyle w:val="Body"/>
      </w:pPr>
      <w:r>
        <w:t>Zistili sme, že časť Štatistické zatriedenie ekonomických činností v Európskom spoločenstve na serveri Eurostatu Referencia a riadenie nomenklatúr (RAMON)</w:t>
      </w:r>
      <w:r>
        <w:rPr>
          <w:rStyle w:val="FootnoteReference"/>
        </w:rPr>
        <w:footnoteReference w:id="0"/>
      </w:r>
      <w:r>
        <w:t xml:space="preserve"> obsahuje niektoré pojmy, ktoré sú nevhodné.</w:t>
      </w:r>
    </w:p>
    <w:p>
      <w:pPr>
        <w:pStyle w:val="Body"/>
      </w:pPr>
      <w:r>
        <w:t xml:space="preserve">V časti Q Zdravotníctvo a sociálna pomoc, pododdiele Q87 Starostlivosť v rezidenčných zariadeniach je jedna položka nazvaná Starostlivosť o osoby s mentálnym postihnutím (v anglickom jazyku </w:t>
      </w:r>
      <w:r>
        <w:rPr>
          <w:rStyle w:val="Italic"/>
        </w:rPr>
        <w:t>mental retardation</w:t>
      </w:r>
      <w:r>
        <w:t xml:space="preserve">) a ďalšia Starostlivosť o staršie osoby a osoby so zdravotným postihnutím (v anglickom jazyku </w:t>
      </w:r>
      <w:r>
        <w:rPr>
          <w:rStyle w:val="Italic"/>
        </w:rPr>
        <w:t>the elderly and disabled</w:t>
      </w:r>
      <w:r>
        <w:t xml:space="preserve">). Takýto názov je uvedený aj v pododdiele Q88 s názvom Sociálna práca bez ubytovania, kde sa spomína Sociálna práca bez ubytovania pre staršie osoby a osoby so zdravotným postihnutím (v anglickom jazyku </w:t>
      </w:r>
      <w:r>
        <w:rPr>
          <w:rStyle w:val="Italic"/>
        </w:rPr>
        <w:t>the elderly and disabled</w:t>
      </w:r>
      <w:r>
        <w:t>).</w:t>
      </w:r>
    </w:p>
    <w:p>
      <w:pPr>
        <w:pStyle w:val="Body"/>
      </w:pPr>
      <w:r>
        <w:t>Berúc do úvahy Dohovor OSN o právach osôb so zdravotným postihnutím a existujúce politiky Komisie týkajúce sa starších ľudí:</w:t>
      </w:r>
    </w:p>
    <w:p>
      <w:pPr>
        <w:pStyle w:val="itemList"/>
      </w:pPr>
      <w:r>
        <w:t>1.</w:t>
      </w:r>
      <w:r>
        <w:tab/>
      </w:r>
      <w:r>
        <w:t>Považuje Komisia používanie pojmov ako „mentálna retardácia“, „starší“ a „postihnutí“ za vhodné?</w:t>
      </w:r>
    </w:p>
    <w:p>
      <w:pPr>
        <w:pStyle w:val="itemList"/>
      </w:pPr>
      <w:r>
        <w:t>2.</w:t>
      </w:r>
      <w:r>
        <w:tab/>
      </w:r>
      <w:r>
        <w:t>Má v úmysle požiadať Eurostat, aby tieto pojmy aktualizoval a nahradil ich vhodnejšími spôsobmi označenia osôb s mentálnym postihnutím, starších osôb a osôb so zdravotným postihnutím? Ak áno, kedy?</w:t>
      </w:r>
    </w:p>
    <w:p>
      <w:pPr>
        <w:pStyle w:val="itemList"/>
      </w:pPr>
      <w:r>
        <w:t>3.</w:t>
      </w:r>
      <w:r>
        <w:tab/>
      </w:r>
      <w:r>
        <w:t>Má Komisia redakčnú politiku, ktorá by vďaka inkluzívnemu jazyku odzrkadľovala prístup dôslednejšie vychádzajúci z ľudských práv?</w:t>
      </w:r>
    </w:p>
    <w:sectPr>
      <w:footerReference w:type="even" r:id="rId5"/>
      <w:footerReference w:type="default" r:id="rId6"/>
      <w:footerReference w:type="first" r:id="rId7"/>
      <w:pgSz w:w="11906" w:h="16838"/>
      <w:pgMar w:top="1440" w:right="1440" w:bottom="2000" w:left="1440" w:header="568" w:footer="568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PE659.598v01-00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PE659.598v01-00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PE659.598v01-00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>
        <w:t>https://ec.europa.eu/eurostat/ramon/index.cfm?TargetUrl=DSP_PUB_WELC (https://ec.europa.eu/eurostat/ramon/index.cfm?TargetUrl=DSP_PUB_WELC)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Otázka na písomné zodpovedanie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20201105-113834-012043-789165</vt:lpwstr>
  </property>
</Properties>
</file>