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Pregunta con solicitud de respuesta escrita  E-005863/2020</w:t>
      </w:r>
    </w:p>
    <w:p>
      <w:pPr>
        <w:pStyle w:val="Arial10"/>
      </w:pPr>
      <w:r>
        <w:rPr>
          <w:rStyle w:val="Bold"/>
        </w:rPr>
        <w:t>a la Comisión</w:t>
      </w:r>
    </w:p>
    <w:p>
      <w:pPr>
        <w:pStyle w:val="Arial10"/>
      </w:pPr>
      <w:r>
        <w:t>Artículo 138 del Reglamento interno</w:t>
      </w:r>
    </w:p>
    <w:p>
      <w:pPr>
        <w:pStyle w:val="Arial10After10"/>
      </w:pPr>
      <w:r>
        <w:rPr>
          <w:rStyle w:val="Bold"/>
        </w:rPr>
        <w:t>Alex Agius Saliba</w:t>
      </w:r>
      <w:r>
        <w:t xml:space="preserve"> (</w:t>
      </w:r>
      <w:r>
        <w:t>S&amp;D</w:t>
      </w:r>
      <w:r>
        <w:t xml:space="preserve">), </w:t>
      </w:r>
      <w:r>
        <w:rPr>
          <w:rStyle w:val="Bold"/>
        </w:rPr>
        <w:t>Alexis Georgoulis</w:t>
      </w:r>
      <w:r>
        <w:t xml:space="preserve"> (</w:t>
      </w:r>
      <w:r>
        <w:t>GUE/NGL</w:t>
      </w:r>
      <w:r>
        <w:t xml:space="preserve">), </w:t>
      </w:r>
      <w:r>
        <w:rPr>
          <w:rStyle w:val="Bold"/>
        </w:rPr>
        <w:t>Brando Benifei</w:t>
      </w:r>
      <w:r>
        <w:t xml:space="preserve"> (</w:t>
      </w:r>
      <w:r>
        <w:t>S&amp;D</w:t>
      </w:r>
      <w:r>
        <w:t xml:space="preserve">), </w:t>
      </w:r>
      <w:r>
        <w:rPr>
          <w:rStyle w:val="Bold"/>
        </w:rPr>
        <w:t>Chiara Gemma</w:t>
      </w:r>
      <w:r>
        <w:t xml:space="preserve"> (</w:t>
      </w:r>
      <w:r>
        <w:t>NI</w:t>
      </w:r>
      <w:r>
        <w:t xml:space="preserve">), </w:t>
      </w:r>
      <w:r>
        <w:rPr>
          <w:rStyle w:val="Bold"/>
        </w:rPr>
        <w:t>Kateřina Konečná</w:t>
      </w:r>
      <w:r>
        <w:t xml:space="preserve"> (</w:t>
      </w:r>
      <w:r>
        <w:t>GUE/NGL</w:t>
      </w:r>
      <w:r>
        <w:t xml:space="preserve">), </w:t>
      </w:r>
      <w:r>
        <w:rPr>
          <w:rStyle w:val="Bold"/>
        </w:rPr>
        <w:t>Milan Brglez</w:t>
      </w:r>
      <w:r>
        <w:t xml:space="preserve"> (</w:t>
      </w:r>
      <w:r>
        <w:t>S&amp;D</w:t>
      </w:r>
      <w:r>
        <w:t xml:space="preserve">), </w:t>
      </w:r>
      <w:r>
        <w:rPr>
          <w:rStyle w:val="Bold"/>
        </w:rPr>
        <w:t>Josianne Cutajar</w:t>
      </w:r>
      <w:r>
        <w:t xml:space="preserve"> (</w:t>
      </w:r>
      <w:r>
        <w:t>S&amp;D</w:t>
      </w:r>
      <w:r>
        <w:t xml:space="preserve">), </w:t>
      </w:r>
      <w:r>
        <w:rPr>
          <w:rStyle w:val="Bold"/>
        </w:rPr>
        <w:t>Ivan Štefanec</w:t>
      </w:r>
      <w:r>
        <w:t xml:space="preserve"> (</w:t>
      </w:r>
      <w:r>
        <w:t>PPE</w:t>
      </w:r>
      <w:r>
        <w:t xml:space="preserve">), </w:t>
      </w:r>
      <w:r>
        <w:rPr>
          <w:rStyle w:val="Bold"/>
        </w:rPr>
        <w:t>Chrysoula Zacharopoulou</w:t>
      </w:r>
      <w:r>
        <w:t xml:space="preserve"> (</w:t>
      </w:r>
      <w:r>
        <w:t>Renew</w:t>
      </w:r>
      <w:r>
        <w:t xml:space="preserve">), </w:t>
      </w:r>
      <w:r>
        <w:rPr>
          <w:rStyle w:val="Bold"/>
        </w:rPr>
        <w:t>Ádám Kósa</w:t>
      </w:r>
      <w:r>
        <w:t xml:space="preserve"> (</w:t>
      </w:r>
      <w:r>
        <w:t>PPE</w:t>
      </w:r>
      <w:r>
        <w:t xml:space="preserve">), </w:t>
      </w:r>
      <w:r>
        <w:rPr>
          <w:rStyle w:val="Bold"/>
        </w:rPr>
        <w:t>Atidzhe Alieva-Veli</w:t>
      </w:r>
      <w:r>
        <w:t xml:space="preserve"> (</w:t>
      </w:r>
      <w:r>
        <w:t>Renew</w:t>
      </w:r>
      <w:r>
        <w:t xml:space="preserve">), </w:t>
      </w:r>
      <w:r>
        <w:rPr>
          <w:rStyle w:val="Bold"/>
        </w:rPr>
        <w:t>Loucas Fourlas</w:t>
      </w:r>
      <w:r>
        <w:t xml:space="preserve"> (</w:t>
      </w:r>
      <w:r>
        <w:t>PPE</w:t>
      </w:r>
      <w:r>
        <w:t xml:space="preserve">), </w:t>
      </w:r>
      <w:r>
        <w:rPr>
          <w:rStyle w:val="Bold"/>
        </w:rPr>
        <w:t>José Gusmão</w:t>
      </w:r>
      <w:r>
        <w:t xml:space="preserve"> (</w:t>
      </w:r>
      <w:r>
        <w:t>GUE/NGL</w:t>
      </w:r>
      <w:r>
        <w:t xml:space="preserve">), </w:t>
      </w:r>
      <w:r>
        <w:rPr>
          <w:rStyle w:val="Bold"/>
        </w:rPr>
        <w:t>Marisa Matias</w:t>
      </w:r>
      <w:r>
        <w:t xml:space="preserve"> (</w:t>
      </w:r>
      <w:r>
        <w:t>GUE/NGL</w:t>
      </w:r>
      <w:r>
        <w:t xml:space="preserve">), </w:t>
      </w:r>
      <w:r>
        <w:rPr>
          <w:rStyle w:val="Bold"/>
        </w:rPr>
        <w:t>Isabel Carvalhais</w:t>
      </w:r>
      <w:r>
        <w:t xml:space="preserve"> (</w:t>
      </w:r>
      <w:r>
        <w:t>S&amp;D</w:t>
      </w:r>
      <w:r>
        <w:t xml:space="preserve">), </w:t>
      </w:r>
      <w:r>
        <w:rPr>
          <w:rStyle w:val="Bold"/>
        </w:rPr>
        <w:t>Dragoș Pîslaru</w:t>
      </w:r>
      <w:r>
        <w:t xml:space="preserve"> (</w:t>
      </w:r>
      <w:r>
        <w:t>Renew</w:t>
      </w:r>
      <w:r>
        <w:t xml:space="preserve">), </w:t>
      </w:r>
      <w:r>
        <w:rPr>
          <w:rStyle w:val="Bold"/>
        </w:rPr>
        <w:t>Tanja Fajon</w:t>
      </w:r>
      <w:r>
        <w:t xml:space="preserve"> (</w:t>
      </w:r>
      <w:r>
        <w:t>S&amp;D</w:t>
      </w:r>
      <w:r>
        <w:t xml:space="preserve">), </w:t>
      </w:r>
      <w:r>
        <w:rPr>
          <w:rStyle w:val="Bold"/>
        </w:rPr>
        <w:t>Rosa Estaràs Ferragut</w:t>
      </w:r>
      <w:r>
        <w:t xml:space="preserve"> (</w:t>
      </w:r>
      <w:r>
        <w:t>PPE</w:t>
      </w:r>
      <w:r>
        <w:t xml:space="preserve">), </w:t>
      </w:r>
      <w:r>
        <w:rPr>
          <w:rStyle w:val="Bold"/>
        </w:rPr>
        <w:t>Pascal Durand</w:t>
      </w:r>
      <w:r>
        <w:t xml:space="preserve"> (</w:t>
      </w:r>
      <w:r>
        <w:t>Renew</w:t>
      </w:r>
      <w:r>
        <w:t xml:space="preserve">), </w:t>
      </w:r>
      <w:r>
        <w:rPr>
          <w:rStyle w:val="Bold"/>
        </w:rPr>
        <w:t>Kim Van Sparrentak</w:t>
      </w:r>
      <w:r>
        <w:t xml:space="preserve"> (</w:t>
      </w:r>
      <w:r>
        <w:t>Verts/ALE</w:t>
      </w:r>
      <w:r>
        <w:t xml:space="preserve">), </w:t>
      </w:r>
      <w:r>
        <w:rPr>
          <w:rStyle w:val="Bold"/>
        </w:rPr>
        <w:t>Jarosław Duda</w:t>
      </w:r>
      <w:r>
        <w:t xml:space="preserve"> (</w:t>
      </w:r>
      <w:r>
        <w:t>PPE</w:t>
      </w:r>
      <w:r>
        <w:t xml:space="preserve">), </w:t>
      </w:r>
      <w:r>
        <w:rPr>
          <w:rStyle w:val="Bold"/>
        </w:rPr>
        <w:t>Cristina Maestre Martín De Almagro</w:t>
      </w:r>
      <w:r>
        <w:t xml:space="preserve"> (</w:t>
      </w:r>
      <w:r>
        <w:t>S&amp;D</w:t>
      </w:r>
      <w:r>
        <w:t xml:space="preserve">), </w:t>
      </w:r>
      <w:r>
        <w:rPr>
          <w:rStyle w:val="Bold"/>
        </w:rPr>
        <w:t>Samira Rafaela</w:t>
      </w:r>
      <w:r>
        <w:t xml:space="preserve"> (</w:t>
      </w:r>
      <w:r>
        <w:t>Renew</w:t>
      </w:r>
      <w:r>
        <w:t xml:space="preserve">), </w:t>
      </w:r>
      <w:r>
        <w:rPr>
          <w:rStyle w:val="Bold"/>
        </w:rPr>
        <w:t>Katrin Langensiepen</w:t>
      </w:r>
      <w:r>
        <w:t xml:space="preserve"> (</w:t>
      </w:r>
      <w:r>
        <w:t>Verts/ALE</w:t>
      </w:r>
      <w:r>
        <w:t xml:space="preserve">), </w:t>
      </w:r>
      <w:r>
        <w:rPr>
          <w:rStyle w:val="Bold"/>
        </w:rPr>
        <w:t>Younous Omarjee</w:t>
      </w:r>
      <w:r>
        <w:t xml:space="preserve"> (</w:t>
      </w:r>
      <w:r>
        <w:t>GUE/NGL</w:t>
      </w:r>
      <w:r>
        <w:t xml:space="preserve">), </w:t>
      </w:r>
      <w:r>
        <w:rPr>
          <w:rStyle w:val="Bold"/>
        </w:rPr>
        <w:t>Eva Kaili</w:t>
      </w:r>
      <w:r>
        <w:t xml:space="preserve"> (</w:t>
      </w:r>
      <w:r>
        <w:t>S&amp;D</w:t>
      </w:r>
      <w:r>
        <w:t xml:space="preserve">), </w:t>
      </w:r>
      <w:r>
        <w:rPr>
          <w:rStyle w:val="Bold"/>
        </w:rPr>
        <w:t>Maite Pagazaurtundúa</w:t>
      </w:r>
      <w:r>
        <w:t xml:space="preserve"> (</w:t>
      </w:r>
      <w:r>
        <w:t>Renew</w:t>
      </w:r>
      <w:r>
        <w:t xml:space="preserve">), </w:t>
      </w:r>
      <w:r>
        <w:rPr>
          <w:rStyle w:val="Bold"/>
        </w:rPr>
        <w:t>Ibán García Del Blanco</w:t>
      </w:r>
      <w:r>
        <w:t xml:space="preserve"> (</w:t>
      </w:r>
      <w:r>
        <w:t>S&amp;D</w:t>
      </w:r>
      <w:r>
        <w:t xml:space="preserve">), </w:t>
      </w:r>
      <w:r>
        <w:rPr>
          <w:rStyle w:val="Bold"/>
        </w:rPr>
        <w:t>Cindy Franssen</w:t>
      </w:r>
      <w:r>
        <w:t xml:space="preserve"> (</w:t>
      </w:r>
      <w:r>
        <w:t>PPE</w:t>
      </w:r>
      <w:r>
        <w:t xml:space="preserve">), </w:t>
      </w:r>
      <w:r>
        <w:rPr>
          <w:rStyle w:val="Bold"/>
        </w:rPr>
        <w:t>Benoît Lutgen</w:t>
      </w:r>
      <w:r>
        <w:t xml:space="preserve"> (</w:t>
      </w:r>
      <w:r>
        <w:t>PPE</w:t>
      </w:r>
      <w:r>
        <w:t xml:space="preserve">), </w:t>
      </w:r>
      <w:r>
        <w:rPr>
          <w:rStyle w:val="Bold"/>
        </w:rPr>
        <w:t>Estrella Durá Ferrandis</w:t>
      </w:r>
      <w:r>
        <w:t xml:space="preserve"> (</w:t>
      </w:r>
      <w:r>
        <w:t>S&amp;D</w:t>
      </w:r>
      <w:r>
        <w:t xml:space="preserve">), </w:t>
      </w:r>
      <w:r>
        <w:rPr>
          <w:rStyle w:val="Bold"/>
        </w:rPr>
        <w:t>Mónica Silvana González</w:t>
      </w:r>
      <w:r>
        <w:t xml:space="preserve"> (</w:t>
      </w:r>
      <w:r>
        <w:t>S&amp;D</w:t>
      </w:r>
      <w:r>
        <w:t xml:space="preserve">), </w:t>
      </w:r>
      <w:r>
        <w:rPr>
          <w:rStyle w:val="Bold"/>
        </w:rPr>
        <w:t>Alicia Homs Ginel</w:t>
      </w:r>
      <w:r>
        <w:t xml:space="preserve"> (</w:t>
      </w:r>
      <w:r>
        <w:t>S&amp;D</w:t>
      </w:r>
      <w:r>
        <w:t xml:space="preserve">), </w:t>
      </w:r>
      <w:r>
        <w:rPr>
          <w:rStyle w:val="Bold"/>
        </w:rPr>
        <w:t>Maria Walsh</w:t>
      </w:r>
      <w:r>
        <w:t xml:space="preserve"> (</w:t>
      </w:r>
      <w:r>
        <w:t>PPE</w:t>
      </w:r>
      <w:r>
        <w:t xml:space="preserve">), </w:t>
      </w:r>
      <w:r>
        <w:rPr>
          <w:rStyle w:val="Bold"/>
        </w:rPr>
        <w:t>Radka Maxová</w:t>
      </w:r>
      <w:r>
        <w:t xml:space="preserve"> (</w:t>
      </w:r>
      <w:r>
        <w:t>Renew</w:t>
      </w:r>
      <w:r>
        <w:t>)</w:t>
      </w:r>
    </w:p>
    <w:p>
      <w:pPr>
        <w:pStyle w:val="Subject"/>
      </w:pPr>
      <w:r>
        <w:t>Asunto</w:t>
      </w:r>
      <w:r>
        <w:t>:</w:t>
      </w:r>
      <w:r>
        <w:tab/>
      </w:r>
      <w:r>
        <w:t>Creación de un comité de accesibilidad de la UE</w:t>
      </w:r>
    </w:p>
    <w:p>
      <w:pPr>
        <w:pStyle w:val="Body"/>
      </w:pPr>
      <w:r>
        <w:t>Una vez adoptada el Acta Europea de Accesibilidad, es importante garantizar que todos los Estados miembros aplican plenamente toda la legislación relativa a la accesibilidad y supervisan de forma continuada los derechos en calidad de consumidores de las personas con discapacidad y las personas con limitaciones funcionales, como las personas de edad avanzada.</w:t>
      </w:r>
    </w:p>
    <w:p>
      <w:pPr>
        <w:pStyle w:val="Body"/>
      </w:pPr>
      <w:r>
        <w:t>Un comité de accesibilidad de la UE ofrecería a sus instituciones, responsables políticos y Estados miembros información especializada en materia de accesibilidad, incluidas recomendaciones políticas basadas en pruebas científicas y en las aportaciones de los grupos más afectados, como las personas con discapacidad y las personas de edad avanzada. El comité también podría encargarse de la elaboración de especificaciones técnicas sobre accesibilidad en apoyo de unas políticas y una legislación específicas de la UE, de la realización de consultas con los titulares de derechos y las partes interesadas, de la ayuda a los Estados miembros y a las instituciones de la UE a la hora de aplicar la accesibilidad de manera armonizada en beneficio del mercado único, y del aumento de la sensibilización acerca de la importancia de la accesibilidad en pro de unas sociedades inclusivas.</w:t>
      </w:r>
    </w:p>
    <w:p>
      <w:pPr>
        <w:pStyle w:val="Body"/>
      </w:pPr>
      <w:r>
        <w:t>¿Puede explicar la Comisión su posición sobre la creación de un comité de accesibilidad de la UE diseñado con el fin de supervisar la aplicación de la legislación de la Unión en materia de accesibilidad y garantizar la igualdad de acceso a los bienes y los servicios para todos los ciudadanos y consumidores, algo que reviste una importancia esencial para las personas con discapacidad y las personas de edad avanzada?</w:t>
      </w:r>
    </w:p>
    <w:sectPr>
      <w:footerReference w:type="even" r:id="rId4"/>
      <w:footerReference w:type="default" r:id="rId5"/>
      <w:footerReference w:type="first" r:id="rId6"/>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PE660.981v01-00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PE660.981v01-00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PE660.981v01-00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Pregunta con solicitud de respuesta escrita</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20201112-160717-097538-146984</vt:lpwstr>
  </property>
</Properties>
</file>