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Mistoqsija għal tweġiba bil-miktub  E-005863/2020</w:t>
      </w:r>
    </w:p>
    <w:p>
      <w:pPr>
        <w:pStyle w:val="Arial10"/>
      </w:pPr>
      <w:r>
        <w:rPr>
          <w:rStyle w:val="Bold"/>
        </w:rPr>
        <w:t xml:space="preserve">lill-Kummissjoni </w:t>
      </w:r>
    </w:p>
    <w:p>
      <w:pPr>
        <w:pStyle w:val="Arial10"/>
      </w:pPr>
      <w:r>
        <w:t>Artikolu 138 tar-Regoli ta’ Proċedura</w:t>
      </w:r>
    </w:p>
    <w:p>
      <w:pPr>
        <w:pStyle w:val="Arial10After10"/>
      </w:pPr>
      <w:r>
        <w:rPr>
          <w:rStyle w:val="Bold"/>
        </w:rPr>
        <w:t>Alex Agius Saliba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Alexis Georgoulis</w:t>
      </w:r>
      <w:r>
        <w:t xml:space="preserve"> (</w:t>
      </w:r>
      <w:r>
        <w:t>GUE/NGL</w:t>
      </w:r>
      <w:r>
        <w:t xml:space="preserve">), </w:t>
      </w:r>
      <w:r>
        <w:rPr>
          <w:rStyle w:val="Bold"/>
        </w:rPr>
        <w:t>Brando Benifei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Chiara Gemma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Kateřina Konečná</w:t>
      </w:r>
      <w:r>
        <w:t xml:space="preserve"> (</w:t>
      </w:r>
      <w:r>
        <w:t>GUE/NGL</w:t>
      </w:r>
      <w:r>
        <w:t xml:space="preserve">), </w:t>
      </w:r>
      <w:r>
        <w:rPr>
          <w:rStyle w:val="Bold"/>
        </w:rPr>
        <w:t>Milan Brglez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Josianne Cutajar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Ivan Štefanec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Chrysoula Zacharopoulou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Ádám Kósa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Atidzhe Alieva-Veli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Loucas Fourlas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José Gusmão</w:t>
      </w:r>
      <w:r>
        <w:t xml:space="preserve"> (</w:t>
      </w:r>
      <w:r>
        <w:t>GUE/NGL</w:t>
      </w:r>
      <w:r>
        <w:t xml:space="preserve">), </w:t>
      </w:r>
      <w:r>
        <w:rPr>
          <w:rStyle w:val="Bold"/>
        </w:rPr>
        <w:t>Marisa Matias</w:t>
      </w:r>
      <w:r>
        <w:t xml:space="preserve"> (</w:t>
      </w:r>
      <w:r>
        <w:t>GUE/NGL</w:t>
      </w:r>
      <w:r>
        <w:t xml:space="preserve">), </w:t>
      </w:r>
      <w:r>
        <w:rPr>
          <w:rStyle w:val="Bold"/>
        </w:rPr>
        <w:t>Isabel Carvalhais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Dragoș Pîslaru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Tanja Fajon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Rosa Estaràs Ferragut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Pascal Durand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Kim Van Sparrentak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Jarosław Duda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Cristina Maestre Martín De Almagro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Samira Rafaela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Katrin Langensiepen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Younous Omarjee</w:t>
      </w:r>
      <w:r>
        <w:t xml:space="preserve"> (</w:t>
      </w:r>
      <w:r>
        <w:t>GUE/NGL</w:t>
      </w:r>
      <w:r>
        <w:t xml:space="preserve">), </w:t>
      </w:r>
      <w:r>
        <w:rPr>
          <w:rStyle w:val="Bold"/>
        </w:rPr>
        <w:t>Eva Kaili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Maite Pagazaurtundúa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Ibán García Del Blanco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Cindy Franssen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Benoît Lutgen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Estrella Durá Ferrandis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Mónica Silvana González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Alicia Homs Ginel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Maria Walsh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Radka Maxová</w:t>
      </w:r>
      <w:r>
        <w:t xml:space="preserve"> (</w:t>
      </w:r>
      <w:r>
        <w:t>Renew</w:t>
      </w:r>
      <w:r>
        <w:t>)</w:t>
      </w:r>
    </w:p>
    <w:p>
      <w:pPr>
        <w:pStyle w:val="Subject"/>
      </w:pPr>
      <w:r>
        <w:t>Suġġett</w:t>
      </w:r>
      <w:r>
        <w:t>:</w:t>
      </w:r>
      <w:r>
        <w:tab/>
      </w:r>
      <w:r>
        <w:t>Ħolqien ta' bord ta' aċċess tal-UE</w:t>
      </w:r>
    </w:p>
    <w:p>
      <w:pPr>
        <w:pStyle w:val="Body"/>
      </w:pPr>
      <w:r>
        <w:t>Issa li ġie adottat l-Att Ewropew dwar l-Aċċessibbiltà, huwa importanti li jiġi żgurat li l-Istati Membri kollha jimplimentaw bis-sħiħ il-leġiżlazzjoni kollha relatata mal-aċċessibbiltà u jimmonitorjaw kontinwament id-drittijiet tal-konsumatur tal-persuni b'diżabilità u dawk b'limitazzjonijiet funzjonali, bħall-anzjani.</w:t>
      </w:r>
    </w:p>
    <w:p>
      <w:pPr>
        <w:pStyle w:val="Body"/>
      </w:pPr>
      <w:r>
        <w:t>Bord ta' aċċess tal-UE jagħti lill-istituzzjonijiet tal-UE, lil dawk li jfasslu l-politiki u lill-Istati Membri informazzjoni speċjalizzata dwar l-aċċessibbiltà, inklużi rakkomandazzjonijiet ta' politika bbażati fuq evidenza xjentifika u fuq kontribut mill-gruppi l-aktar affettwati, bħall-persuni b'diżabbiltà u l-anzjani. Il-bord jista' wkoll jiġi inkarigat bl-iżvilupp ta' speċifikazzjonijiet tekniċi dwar l-aċċessibbiltà bħala appoġġ għall-politiki u l-leġiżlazzjoni speċifiċi tal-UE, twettiq ta' konsultazzjonijiet mad-detenturi tad-drittijiet u l-partijiet ikkonċernati, għajnuna lill-Istati Membri u lill-istituzzjonijiet tal-UE biex jimplimentaw l-aċċessibbiltà b'mod armonizzat għall-benefiċċju tas-suq uniku, u sensibilizzazzjoni dwar l-importanza tal-aċċessibbiltà għal soċjetajiet inklużivi.</w:t>
      </w:r>
    </w:p>
    <w:p>
      <w:pPr>
        <w:pStyle w:val="Body"/>
      </w:pPr>
      <w:r>
        <w:t>Il-Kummissjoni tista' tispjega l-pożizzjoni tagħha dwar il-ħolqien ta' bord ta' aċċess tal-UE, imfassal biex jimmonitorja l-implimentazzjoni tal-leġiżlazzjoni tal-UE dwar l-aċċessibbiltà u jiżgura aċċess ugwali għall-oġġetti u servizzi għaċ-ċittadini u l-konsumaturi kollha, element li huwa partikolarment kruċjali għall-persuni b'diżabilità u l-anzjani?</w:t>
      </w:r>
    </w:p>
    <w:sectPr>
      <w:footerReference w:type="even" r:id="rId4"/>
      <w:footerReference w:type="default" r:id="rId5"/>
      <w:footerReference w:type="first" r:id="rId6"/>
      <w:pgSz w:w="11906" w:h="16838"/>
      <w:pgMar w:top="1440" w:right="1440" w:bottom="2000" w:left="1440" w:header="568" w:footer="568" w:gutter="0"/>
      <w:cols w:num="1"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PE660.981v01-00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PE660.981v01-00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PE660.981v01-00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Mistoqsija għal tweġiba bil-miktub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20201112-160721-097543-883039</vt:lpwstr>
  </property>
</Properties>
</file>