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Vraag met verzoek om schriftelijk antwoord  E-005863/2020</w:t>
      </w:r>
    </w:p>
    <w:p>
      <w:pPr>
        <w:pStyle w:val="Arial10"/>
      </w:pPr>
      <w:r>
        <w:rPr>
          <w:rStyle w:val="Bold"/>
        </w:rPr>
        <w:t>aan de Commissie</w:t>
      </w:r>
    </w:p>
    <w:p>
      <w:pPr>
        <w:pStyle w:val="Arial10"/>
      </w:pPr>
      <w:r>
        <w:t>Artikel 138 van het Reglement</w:t>
      </w:r>
    </w:p>
    <w:p>
      <w:pPr>
        <w:pStyle w:val="Arial10After10"/>
      </w:pPr>
      <w:r>
        <w:rPr>
          <w:rStyle w:val="Bold"/>
        </w:rPr>
        <w:t>Alex Agius Saliba</w:t>
      </w:r>
      <w:r>
        <w:t xml:space="preserve"> (</w:t>
      </w:r>
      <w:r>
        <w:t>S&amp;D</w:t>
      </w:r>
      <w:r>
        <w:t xml:space="preserve">), </w:t>
      </w:r>
      <w:r>
        <w:rPr>
          <w:rStyle w:val="Bold"/>
        </w:rPr>
        <w:t>Alexis Georgoulis</w:t>
      </w:r>
      <w:r>
        <w:t xml:space="preserve"> (</w:t>
      </w:r>
      <w:r>
        <w:t>GUE/NGL</w:t>
      </w:r>
      <w:r>
        <w:t xml:space="preserve">), </w:t>
      </w:r>
      <w:r>
        <w:rPr>
          <w:rStyle w:val="Bold"/>
        </w:rPr>
        <w:t>Brando Benifei</w:t>
      </w:r>
      <w:r>
        <w:t xml:space="preserve"> (</w:t>
      </w:r>
      <w:r>
        <w:t>S&amp;D</w:t>
      </w:r>
      <w:r>
        <w:t xml:space="preserve">), </w:t>
      </w:r>
      <w:r>
        <w:rPr>
          <w:rStyle w:val="Bold"/>
        </w:rPr>
        <w:t>Chiara Gemma</w:t>
      </w:r>
      <w:r>
        <w:t xml:space="preserve"> (</w:t>
      </w:r>
      <w:r>
        <w:t>NI</w:t>
      </w:r>
      <w:r>
        <w:t xml:space="preserve">), </w:t>
      </w:r>
      <w:r>
        <w:rPr>
          <w:rStyle w:val="Bold"/>
        </w:rPr>
        <w:t>Kateřina Konečná</w:t>
      </w:r>
      <w:r>
        <w:t xml:space="preserve"> (</w:t>
      </w:r>
      <w:r>
        <w:t>GUE/NGL</w:t>
      </w:r>
      <w:r>
        <w:t xml:space="preserve">), </w:t>
      </w:r>
      <w:r>
        <w:rPr>
          <w:rStyle w:val="Bold"/>
        </w:rPr>
        <w:t>Milan Brglez</w:t>
      </w:r>
      <w:r>
        <w:t xml:space="preserve"> (</w:t>
      </w:r>
      <w:r>
        <w:t>S&amp;D</w:t>
      </w:r>
      <w:r>
        <w:t xml:space="preserve">), </w:t>
      </w:r>
      <w:r>
        <w:rPr>
          <w:rStyle w:val="Bold"/>
        </w:rPr>
        <w:t>Josianne Cutajar</w:t>
      </w:r>
      <w:r>
        <w:t xml:space="preserve"> (</w:t>
      </w:r>
      <w:r>
        <w:t>S&amp;D</w:t>
      </w:r>
      <w:r>
        <w:t xml:space="preserve">), </w:t>
      </w:r>
      <w:r>
        <w:rPr>
          <w:rStyle w:val="Bold"/>
        </w:rPr>
        <w:t>Ivan Štefanec</w:t>
      </w:r>
      <w:r>
        <w:t xml:space="preserve"> (</w:t>
      </w:r>
      <w:r>
        <w:t>PPE</w:t>
      </w:r>
      <w:r>
        <w:t xml:space="preserve">), </w:t>
      </w:r>
      <w:r>
        <w:rPr>
          <w:rStyle w:val="Bold"/>
        </w:rPr>
        <w:t>Chrysoula Zacharopoulou</w:t>
      </w:r>
      <w:r>
        <w:t xml:space="preserve"> (</w:t>
      </w:r>
      <w:r>
        <w:t>Renew</w:t>
      </w:r>
      <w:r>
        <w:t xml:space="preserve">), </w:t>
      </w:r>
      <w:r>
        <w:rPr>
          <w:rStyle w:val="Bold"/>
        </w:rPr>
        <w:t>Ádám Kósa</w:t>
      </w:r>
      <w:r>
        <w:t xml:space="preserve"> (</w:t>
      </w:r>
      <w:r>
        <w:t>PPE</w:t>
      </w:r>
      <w:r>
        <w:t xml:space="preserve">), </w:t>
      </w:r>
      <w:r>
        <w:rPr>
          <w:rStyle w:val="Bold"/>
        </w:rPr>
        <w:t>Atidzhe Alieva-Veli</w:t>
      </w:r>
      <w:r>
        <w:t xml:space="preserve"> (</w:t>
      </w:r>
      <w:r>
        <w:t>Renew</w:t>
      </w:r>
      <w:r>
        <w:t xml:space="preserve">), </w:t>
      </w:r>
      <w:r>
        <w:rPr>
          <w:rStyle w:val="Bold"/>
        </w:rPr>
        <w:t>Loucas Fourlas</w:t>
      </w:r>
      <w:r>
        <w:t xml:space="preserve"> (</w:t>
      </w:r>
      <w:r>
        <w:t>PPE</w:t>
      </w:r>
      <w:r>
        <w:t xml:space="preserve">), </w:t>
      </w:r>
      <w:r>
        <w:rPr>
          <w:rStyle w:val="Bold"/>
        </w:rPr>
        <w:t>José Gusmão</w:t>
      </w:r>
      <w:r>
        <w:t xml:space="preserve"> (</w:t>
      </w:r>
      <w:r>
        <w:t>GUE/NGL</w:t>
      </w:r>
      <w:r>
        <w:t xml:space="preserve">), </w:t>
      </w:r>
      <w:r>
        <w:rPr>
          <w:rStyle w:val="Bold"/>
        </w:rPr>
        <w:t>Marisa Matias</w:t>
      </w:r>
      <w:r>
        <w:t xml:space="preserve"> (</w:t>
      </w:r>
      <w:r>
        <w:t>GUE/NGL</w:t>
      </w:r>
      <w:r>
        <w:t xml:space="preserve">), </w:t>
      </w:r>
      <w:r>
        <w:rPr>
          <w:rStyle w:val="Bold"/>
        </w:rPr>
        <w:t>Isabel Carvalhais</w:t>
      </w:r>
      <w:r>
        <w:t xml:space="preserve"> (</w:t>
      </w:r>
      <w:r>
        <w:t>S&amp;D</w:t>
      </w:r>
      <w:r>
        <w:t xml:space="preserve">), </w:t>
      </w:r>
      <w:r>
        <w:rPr>
          <w:rStyle w:val="Bold"/>
        </w:rPr>
        <w:t>Dragoș Pîslaru</w:t>
      </w:r>
      <w:r>
        <w:t xml:space="preserve"> (</w:t>
      </w:r>
      <w:r>
        <w:t>Renew</w:t>
      </w:r>
      <w:r>
        <w:t xml:space="preserve">), </w:t>
      </w:r>
      <w:r>
        <w:rPr>
          <w:rStyle w:val="Bold"/>
        </w:rPr>
        <w:t>Tanja Fajon</w:t>
      </w:r>
      <w:r>
        <w:t xml:space="preserve"> (</w:t>
      </w:r>
      <w:r>
        <w:t>S&amp;D</w:t>
      </w:r>
      <w:r>
        <w:t xml:space="preserve">), </w:t>
      </w:r>
      <w:r>
        <w:rPr>
          <w:rStyle w:val="Bold"/>
        </w:rPr>
        <w:t>Rosa Estaràs Ferragut</w:t>
      </w:r>
      <w:r>
        <w:t xml:space="preserve"> (</w:t>
      </w:r>
      <w:r>
        <w:t>PPE</w:t>
      </w:r>
      <w:r>
        <w:t xml:space="preserve">), </w:t>
      </w:r>
      <w:r>
        <w:rPr>
          <w:rStyle w:val="Bold"/>
        </w:rPr>
        <w:t>Pascal Durand</w:t>
      </w:r>
      <w:r>
        <w:t xml:space="preserve"> (</w:t>
      </w:r>
      <w:r>
        <w:t>Renew</w:t>
      </w:r>
      <w:r>
        <w:t xml:space="preserve">), </w:t>
      </w:r>
      <w:r>
        <w:rPr>
          <w:rStyle w:val="Bold"/>
        </w:rPr>
        <w:t>Kim Van Sparrentak</w:t>
      </w:r>
      <w:r>
        <w:t xml:space="preserve"> (</w:t>
      </w:r>
      <w:r>
        <w:t>Verts/ALE</w:t>
      </w:r>
      <w:r>
        <w:t xml:space="preserve">), </w:t>
      </w:r>
      <w:r>
        <w:rPr>
          <w:rStyle w:val="Bold"/>
        </w:rPr>
        <w:t>Jarosław Duda</w:t>
      </w:r>
      <w:r>
        <w:t xml:space="preserve"> (</w:t>
      </w:r>
      <w:r>
        <w:t>PPE</w:t>
      </w:r>
      <w:r>
        <w:t xml:space="preserve">), </w:t>
      </w:r>
      <w:r>
        <w:rPr>
          <w:rStyle w:val="Bold"/>
        </w:rPr>
        <w:t>Cristina Maestre Martín De Almagro</w:t>
      </w:r>
      <w:r>
        <w:t xml:space="preserve"> (</w:t>
      </w:r>
      <w:r>
        <w:t>S&amp;D</w:t>
      </w:r>
      <w:r>
        <w:t xml:space="preserve">), </w:t>
      </w:r>
      <w:r>
        <w:rPr>
          <w:rStyle w:val="Bold"/>
        </w:rPr>
        <w:t>Samira Rafaela</w:t>
      </w:r>
      <w:r>
        <w:t xml:space="preserve"> (</w:t>
      </w:r>
      <w:r>
        <w:t>Renew</w:t>
      </w:r>
      <w:r>
        <w:t xml:space="preserve">), </w:t>
      </w:r>
      <w:r>
        <w:rPr>
          <w:rStyle w:val="Bold"/>
        </w:rPr>
        <w:t>Katrin Langensiepen</w:t>
      </w:r>
      <w:r>
        <w:t xml:space="preserve"> (</w:t>
      </w:r>
      <w:r>
        <w:t>Verts/ALE</w:t>
      </w:r>
      <w:r>
        <w:t xml:space="preserve">), </w:t>
      </w:r>
      <w:r>
        <w:rPr>
          <w:rStyle w:val="Bold"/>
        </w:rPr>
        <w:t>Younous Omarjee</w:t>
      </w:r>
      <w:r>
        <w:t xml:space="preserve"> (</w:t>
      </w:r>
      <w:r>
        <w:t>GUE/NGL</w:t>
      </w:r>
      <w:r>
        <w:t xml:space="preserve">), </w:t>
      </w:r>
      <w:r>
        <w:rPr>
          <w:rStyle w:val="Bold"/>
        </w:rPr>
        <w:t>Eva Kaili</w:t>
      </w:r>
      <w:r>
        <w:t xml:space="preserve"> (</w:t>
      </w:r>
      <w:r>
        <w:t>S&amp;D</w:t>
      </w:r>
      <w:r>
        <w:t xml:space="preserve">), </w:t>
      </w:r>
      <w:r>
        <w:rPr>
          <w:rStyle w:val="Bold"/>
        </w:rPr>
        <w:t>Maite Pagazaurtundúa</w:t>
      </w:r>
      <w:r>
        <w:t xml:space="preserve"> (</w:t>
      </w:r>
      <w:r>
        <w:t>Renew</w:t>
      </w:r>
      <w:r>
        <w:t xml:space="preserve">), </w:t>
      </w:r>
      <w:r>
        <w:rPr>
          <w:rStyle w:val="Bold"/>
        </w:rPr>
        <w:t>Ibán García Del Blanco</w:t>
      </w:r>
      <w:r>
        <w:t xml:space="preserve"> (</w:t>
      </w:r>
      <w:r>
        <w:t>S&amp;D</w:t>
      </w:r>
      <w:r>
        <w:t xml:space="preserve">), </w:t>
      </w:r>
      <w:r>
        <w:rPr>
          <w:rStyle w:val="Bold"/>
        </w:rPr>
        <w:t>Cindy Franssen</w:t>
      </w:r>
      <w:r>
        <w:t xml:space="preserve"> (</w:t>
      </w:r>
      <w:r>
        <w:t>PPE</w:t>
      </w:r>
      <w:r>
        <w:t xml:space="preserve">), </w:t>
      </w:r>
      <w:r>
        <w:rPr>
          <w:rStyle w:val="Bold"/>
        </w:rPr>
        <w:t>Benoît Lutgen</w:t>
      </w:r>
      <w:r>
        <w:t xml:space="preserve"> (</w:t>
      </w:r>
      <w:r>
        <w:t>PPE</w:t>
      </w:r>
      <w:r>
        <w:t xml:space="preserve">), </w:t>
      </w:r>
      <w:r>
        <w:rPr>
          <w:rStyle w:val="Bold"/>
        </w:rPr>
        <w:t>Estrella Durá Ferrandis</w:t>
      </w:r>
      <w:r>
        <w:t xml:space="preserve"> (</w:t>
      </w:r>
      <w:r>
        <w:t>S&amp;D</w:t>
      </w:r>
      <w:r>
        <w:t xml:space="preserve">), </w:t>
      </w:r>
      <w:r>
        <w:rPr>
          <w:rStyle w:val="Bold"/>
        </w:rPr>
        <w:t>Mónica Silvana González</w:t>
      </w:r>
      <w:r>
        <w:t xml:space="preserve"> (</w:t>
      </w:r>
      <w:r>
        <w:t>S&amp;D</w:t>
      </w:r>
      <w:r>
        <w:t xml:space="preserve">), </w:t>
      </w:r>
      <w:r>
        <w:rPr>
          <w:rStyle w:val="Bold"/>
        </w:rPr>
        <w:t>Alicia Homs Ginel</w:t>
      </w:r>
      <w:r>
        <w:t xml:space="preserve"> (</w:t>
      </w:r>
      <w:r>
        <w:t>S&amp;D</w:t>
      </w:r>
      <w:r>
        <w:t xml:space="preserve">), </w:t>
      </w:r>
      <w:r>
        <w:rPr>
          <w:rStyle w:val="Bold"/>
        </w:rPr>
        <w:t>Maria Walsh</w:t>
      </w:r>
      <w:r>
        <w:t xml:space="preserve"> (</w:t>
      </w:r>
      <w:r>
        <w:t>PPE</w:t>
      </w:r>
      <w:r>
        <w:t xml:space="preserve">), </w:t>
      </w:r>
      <w:r>
        <w:rPr>
          <w:rStyle w:val="Bold"/>
        </w:rPr>
        <w:t>Radka Maxová</w:t>
      </w:r>
      <w:r>
        <w:t xml:space="preserve"> (</w:t>
      </w:r>
      <w:r>
        <w:t>Renew</w:t>
      </w:r>
      <w:r>
        <w:t>)</w:t>
      </w:r>
    </w:p>
    <w:p>
      <w:pPr>
        <w:pStyle w:val="Subject"/>
      </w:pPr>
      <w:r>
        <w:t>Betreft</w:t>
      </w:r>
      <w:r>
        <w:t>:</w:t>
      </w:r>
      <w:r>
        <w:tab/>
      </w:r>
      <w:r>
        <w:t>Oprichting van een Europese Toegangsraad</w:t>
      </w:r>
    </w:p>
    <w:p>
      <w:pPr>
        <w:pStyle w:val="Body"/>
      </w:pPr>
      <w:r>
        <w:t>Nu de Europese toegankelijkheidswet is aangenomen, moet erop worden toegezien dat alle lidstaten alle wetgeving op het vlak van toegankelijkheid volledig ten uitvoer leggen en voortdurend alert zijn op de handhaving van consumentenrechten van personen met een handicap en personen met een functionele beperking, zoals ouderen.</w:t>
      </w:r>
    </w:p>
    <w:p>
      <w:pPr>
        <w:pStyle w:val="Body"/>
      </w:pPr>
      <w:r>
        <w:t>Een Europese Toegangsraad zou de EU-instellingen, beleidsmakers en lidstaten gespecialiseerde informatie verstrekken over toegankelijkheid, met inbegrip van beleidsaanbevelingen op basis van wetenschappelijk bewijs en op input van de groepen die het meest met dit onderwerp te maken hebben, zoals personen met een handicap en ouderen. Deze raad kan ook worden belast met de ontwikkeling van technische specificaties inzake toegankelijkheid ter ondersteuning van specifieke beleidsmaatregelen en wetgeving van de EU, het raadplegen van rechthebbenden en belanghebbenden, het helpen van de lidstaten en de EU-instellingen om toegankelijkheid op geharmoniseerde wijze ten uitvoer te leggen ten behoeve van de interne markt, en het vergroten van het bewustzijn over het belang van toegankelijkheid voor inclusieve samenlevingen.</w:t>
      </w:r>
    </w:p>
    <w:p>
      <w:pPr>
        <w:pStyle w:val="Body"/>
      </w:pPr>
      <w:r>
        <w:t>Kan de Commissie haar standpunt uiteenzetten over de oprichting van een Europese Toegangsraad waarvan het doel is om toezicht te houden op de tenuitvoerlegging van de EU-wetgeving inzake toegankelijkheid en te zorgen voor gelijke toegang tot goederen en diensten voor alle burgers en consumenten, wat met name van cruciaal belang is voor personen met een handicap en ouderen?</w:t>
      </w:r>
    </w:p>
    <w:sectPr>
      <w:footerReference w:type="even" r:id="rId4"/>
      <w:footerReference w:type="default" r:id="rId5"/>
      <w:footerReference w:type="first" r:id="rId6"/>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PE660.981v01-00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PE660.981v01-00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PE660.981v01-00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Vraag met verzoek om schriftelijk antwoord</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20201112-160715-097535-497890</vt:lpwstr>
  </property>
</Properties>
</file>