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Question avec demande de réponse écrite  E-005874/2020</w:t>
      </w:r>
    </w:p>
    <w:p>
      <w:pPr>
        <w:pStyle w:val="Arial10"/>
      </w:pPr>
      <w:r>
        <w:rPr>
          <w:rStyle w:val="Bold"/>
        </w:rPr>
        <w:t>à la Commission</w:t>
      </w:r>
    </w:p>
    <w:p>
      <w:pPr>
        <w:pStyle w:val="Arial10"/>
      </w:pPr>
      <w:r>
        <w:t>Article 138 du règlement intérieur</w:t>
      </w:r>
    </w:p>
    <w:p>
      <w:pPr>
        <w:pStyle w:val="Arial10After10"/>
      </w:pPr>
      <w:r>
        <w:rPr>
          <w:rStyle w:val="Bold"/>
        </w:rPr>
        <w:t>Niels Fuglsang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Sylwia Spurek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Maria Noichl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Martin Hojsík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Francisco Guerreiro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Sarah Wiener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Eleonora Evi</w:t>
      </w:r>
      <w:r>
        <w:t xml:space="preserve"> (</w:t>
      </w:r>
      <w:r>
        <w:t>NI</w:t>
      </w:r>
      <w:r>
        <w:t xml:space="preserve">), </w:t>
      </w:r>
      <w:r>
        <w:rPr>
          <w:rStyle w:val="Bold"/>
        </w:rPr>
        <w:t>Veronika Vrecionová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Annika Bruna</w:t>
      </w:r>
      <w:r>
        <w:t xml:space="preserve"> (</w:t>
      </w:r>
      <w:r>
        <w:t>ID</w:t>
      </w:r>
      <w:r>
        <w:t xml:space="preserve">), </w:t>
      </w:r>
      <w:r>
        <w:rPr>
          <w:rStyle w:val="Bold"/>
        </w:rPr>
        <w:t>Chrysoula Zacharopoulou</w:t>
      </w:r>
      <w:r>
        <w:t xml:space="preserve"> (</w:t>
      </w:r>
      <w:r>
        <w:t>Renew</w:t>
      </w:r>
      <w:r>
        <w:t xml:space="preserve">), </w:t>
      </w:r>
      <w:r>
        <w:rPr>
          <w:rStyle w:val="Bold"/>
        </w:rPr>
        <w:t>Jytte Guteland</w:t>
      </w:r>
      <w:r>
        <w:t xml:space="preserve"> (</w:t>
      </w:r>
      <w:r>
        <w:t>S&amp;D</w:t>
      </w:r>
      <w:r>
        <w:t xml:space="preserve">), </w:t>
      </w:r>
      <w:r>
        <w:rPr>
          <w:rStyle w:val="Bold"/>
        </w:rPr>
        <w:t>Sirpa Pietikäinen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Anja Hazekamp</w:t>
      </w:r>
      <w:r>
        <w:t xml:space="preserve"> (</w:t>
      </w:r>
      <w:r>
        <w:t>GUE/NGL</w:t>
      </w:r>
      <w:r>
        <w:t xml:space="preserve">), </w:t>
      </w:r>
      <w:r>
        <w:rPr>
          <w:rStyle w:val="Bold"/>
        </w:rPr>
        <w:t>Thomas Waitz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Tilly Metz</w:t>
      </w:r>
      <w:r>
        <w:t xml:space="preserve"> (</w:t>
      </w:r>
      <w:r>
        <w:t>Verts/ALE</w:t>
      </w:r>
      <w:r>
        <w:t xml:space="preserve">), </w:t>
      </w:r>
      <w:r>
        <w:rPr>
          <w:rStyle w:val="Bold"/>
        </w:rPr>
        <w:t>Jadwiga Wiśniewska</w:t>
      </w:r>
      <w:r>
        <w:t xml:space="preserve"> (</w:t>
      </w:r>
      <w:r>
        <w:t>ECR</w:t>
      </w:r>
      <w:r>
        <w:t xml:space="preserve">), </w:t>
      </w:r>
      <w:r>
        <w:rPr>
          <w:rStyle w:val="Bold"/>
        </w:rPr>
        <w:t>Pascal Durand</w:t>
      </w:r>
      <w:r>
        <w:t xml:space="preserve"> (</w:t>
      </w:r>
      <w:r>
        <w:t>Renew</w:t>
      </w:r>
      <w:r>
        <w:t>)</w:t>
      </w:r>
    </w:p>
    <w:p>
      <w:pPr>
        <w:pStyle w:val="Subject"/>
      </w:pPr>
      <w:r>
        <w:t>Objet</w:t>
      </w:r>
      <w:r>
        <w:t>:</w:t>
      </w:r>
      <w:r>
        <w:tab/>
      </w:r>
      <w:r>
        <w:t>Application des guides de bonnes et de meilleures pratiques de la Commission en matière de transport des animaux</w:t>
      </w:r>
    </w:p>
    <w:p>
      <w:pPr>
        <w:pStyle w:val="Body"/>
      </w:pPr>
      <w:r>
        <w:t>En 2011, un rapport de la Commission sur l’incidence du règlement (CE) n° 1/2005 du Conseil relatif à la protection des animaux pendant le transport a conclu que l’application de cette législation pouvait encore être améliorée. Cela a incité le Parlement à lancer un projet pilote budgétaire sur l’élaboration et la diffusion des meilleures pratiques en matière de transport international et national d’animaux par route. Le projet vise à renforcer le niveau général d’application de ce règlement.</w:t>
      </w:r>
    </w:p>
    <w:p>
      <w:pPr>
        <w:pStyle w:val="Body"/>
      </w:pPr>
      <w:r>
        <w:t>Il s’agissait d’un grand projet mené par la DG SANTE, auquel seize organisations partenaires ont participé pendant plus de trois ans entre 2015 et 2019. Le projet pilote a ouvert la voie à la publication, au début de l’année 2019, des guides de bonnes et de meilleures pratiques pour le transport des bovins, des ovins, des porcins, des chevaux et des volailles</w:t>
      </w:r>
      <w:r>
        <w:rPr>
          <w:rStyle w:val="FootnoteReference"/>
        </w:rPr>
        <w:footnoteReference w:id="0"/>
      </w:r>
      <w:r>
        <w:t>.</w:t>
      </w:r>
    </w:p>
    <w:p>
      <w:pPr>
        <w:pStyle w:val="itemList"/>
      </w:pPr>
      <w:r>
        <w:t>1.</w:t>
      </w:r>
      <w:r>
        <w:tab/>
      </w:r>
      <w:r>
        <w:t>La Commission pourrait-elle préciser si ces guides sont déjà largement utilisés dans les États membres, et comment cela a été vérifié?</w:t>
      </w:r>
    </w:p>
    <w:p>
      <w:pPr>
        <w:pStyle w:val="itemList"/>
      </w:pPr>
      <w:r>
        <w:t>2.</w:t>
      </w:r>
      <w:r>
        <w:tab/>
      </w:r>
      <w:r>
        <w:t>Pourrait-elle préciser si les guides ont contribué à l’amélioration des pratiques de transport des animaux et si le règlement a été mieux appliqué en conséquence?</w:t>
      </w:r>
    </w:p>
    <w:sectPr>
      <w:footerReference w:type="even" r:id="rId5"/>
      <w:footerReference w:type="default" r:id="rId6"/>
      <w:footerReference w:type="first" r:id="rId7"/>
      <w:pgSz w:w="11906" w:h="16838"/>
      <w:pgMar w:top="1440" w:right="1440" w:bottom="2000" w:left="1440" w:header="568" w:footer="568" w:gutter="0"/>
      <w:cols w:num="1"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PE660.992v01-00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PE660.992v01-00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PE660.992v01-00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>
        <w:t>http://www.animaltransportguides.eu/fr/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avec demande de réponse écrite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20201112-174815-097737-693543</vt:lpwstr>
  </property>
</Properties>
</file>