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Question for written answer  E-006093/2020</w:t>
      </w:r>
    </w:p>
    <w:p>
      <w:pPr>
        <w:pStyle w:val="Arial10"/>
      </w:pPr>
      <w:r>
        <w:rPr>
          <w:rStyle w:val="Bold"/>
        </w:rPr>
        <w:t>to the Vice-President of the Commission / High Representative of the Union for Foreign Affairs and Security Policy</w:t>
      </w:r>
    </w:p>
    <w:p>
      <w:pPr>
        <w:pStyle w:val="Arial10"/>
      </w:pPr>
      <w:r>
        <w:t>Rule 138</w:t>
      </w:r>
    </w:p>
    <w:p>
      <w:pPr>
        <w:pStyle w:val="Arial10After10"/>
      </w:pPr>
      <w:r>
        <w:rPr>
          <w:rStyle w:val="Bold"/>
        </w:rPr>
        <w:t>Anna Fotyga</w:t>
      </w:r>
      <w:r>
        <w:t xml:space="preserve"> (</w:t>
      </w:r>
      <w:r>
        <w:t>ECR</w:t>
      </w:r>
      <w:r>
        <w:t xml:space="preserve">), </w:t>
      </w:r>
      <w:r>
        <w:rPr>
          <w:rStyle w:val="Bold"/>
        </w:rPr>
        <w:t>Hermann Tertsch</w:t>
      </w:r>
      <w:r>
        <w:t xml:space="preserve"> (</w:t>
      </w:r>
      <w:r>
        <w:t>ECR</w:t>
      </w:r>
      <w:r>
        <w:t xml:space="preserve">), </w:t>
      </w:r>
      <w:r>
        <w:rPr>
          <w:rStyle w:val="Bold"/>
        </w:rPr>
        <w:t>Elżbieta Kruk</w:t>
      </w:r>
      <w:r>
        <w:t xml:space="preserve"> (</w:t>
      </w:r>
      <w:r>
        <w:t>ECR</w:t>
      </w:r>
      <w:r>
        <w:t xml:space="preserve">), </w:t>
      </w:r>
      <w:r>
        <w:rPr>
          <w:rStyle w:val="Bold"/>
        </w:rPr>
        <w:t>Jorge Buxadé Villalba</w:t>
      </w:r>
      <w:r>
        <w:t xml:space="preserve"> (</w:t>
      </w:r>
      <w:r>
        <w:t>ECR</w:t>
      </w:r>
      <w:r>
        <w:t xml:space="preserve">), </w:t>
      </w:r>
      <w:r>
        <w:rPr>
          <w:rStyle w:val="Bold"/>
        </w:rPr>
        <w:t>Bert-Jan Ruissen</w:t>
      </w:r>
      <w:r>
        <w:t xml:space="preserve"> (</w:t>
      </w:r>
      <w:r>
        <w:t>ECR</w:t>
      </w:r>
      <w:r>
        <w:t xml:space="preserve">), </w:t>
      </w:r>
      <w:r>
        <w:rPr>
          <w:rStyle w:val="Bold"/>
        </w:rPr>
        <w:t>Beata Mazurek</w:t>
      </w:r>
      <w:r>
        <w:t xml:space="preserve"> (</w:t>
      </w:r>
      <w:r>
        <w:t>ECR</w:t>
      </w:r>
      <w:r>
        <w:t xml:space="preserve">), </w:t>
      </w:r>
      <w:r>
        <w:rPr>
          <w:rStyle w:val="Bold"/>
        </w:rPr>
        <w:t>Beata Kempa</w:t>
      </w:r>
      <w:r>
        <w:t xml:space="preserve"> (</w:t>
      </w:r>
      <w:r>
        <w:t>ECR</w:t>
      </w:r>
      <w:r>
        <w:t xml:space="preserve">), </w:t>
      </w:r>
      <w:r>
        <w:rPr>
          <w:rStyle w:val="Bold"/>
        </w:rPr>
        <w:t>Emmanouil Fragkos</w:t>
      </w:r>
      <w:r>
        <w:t xml:space="preserve"> (</w:t>
      </w:r>
      <w:r>
        <w:t>ECR</w:t>
      </w:r>
      <w:r>
        <w:t>)</w:t>
      </w:r>
    </w:p>
    <w:p>
      <w:pPr>
        <w:pStyle w:val="Subject"/>
      </w:pPr>
      <w:r>
        <w:t>Subject</w:t>
      </w:r>
      <w:r>
        <w:t>:</w:t>
      </w:r>
      <w:r>
        <w:tab/>
      </w:r>
      <w:r>
        <w:t>The Abraham Accords and the future role of the EU in the Middle East peace process</w:t>
      </w:r>
    </w:p>
    <w:p>
      <w:pPr>
        <w:pStyle w:val="Body"/>
      </w:pPr>
      <w:r>
        <w:t>On 13 August 2020, the UAE and Israel signed an agreement brokered by the US. A month later, Bahrain announced that it was normalising relations with Israel. On 15 September 2020, the Abraham Accords were signed in Washington DC. The three parties agreed to promote interfaith and intercultural dialogue and to cooperate in areas such as investment, tourism, aviation, security, technology, energy and healthcare to advance the interests of peace in the Middle East. A month after that, Sudan followed in formally normalising its relations with Israel.</w:t>
      </w:r>
    </w:p>
    <w:p>
      <w:pPr>
        <w:pStyle w:val="Body"/>
      </w:pPr>
      <w:r>
        <w:t>This historic agreement stands in contrast with the EU’s political initiatives in the Middle East, which have often been detrimental to peace in the region. The EU’s policies, including continued support for the mullah regime in Iran and an unwillingness to include Hezbollah in its entirety on the EU list of terrorist organisations, have proved counterproductive to facilitating peace in the region.</w:t>
      </w:r>
    </w:p>
    <w:p>
      <w:pPr>
        <w:pStyle w:val="itemList"/>
      </w:pPr>
      <w:r>
        <w:t>1.</w:t>
      </w:r>
      <w:r>
        <w:tab/>
      </w:r>
      <w:r>
        <w:t>In light of the above and given the prospect of other Arab countries normalising relations with Israel, what role does the VP/HR predict the EU will have in the Middle East peace process?</w:t>
      </w:r>
    </w:p>
    <w:p>
      <w:pPr>
        <w:pStyle w:val="itemList"/>
      </w:pPr>
      <w:r>
        <w:t>2.</w:t>
      </w:r>
      <w:r>
        <w:tab/>
      </w:r>
      <w:r>
        <w:t>What will the EU’s official message be regarding the Abraham Accords, and will the EU, a long-standing donor to Palestine, encourage the Palestinian authorities to accept the agreements as a peacebuilding opportunity?</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PE661.235v01-00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PE661.235v01-00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PE661.235v01-00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for written answer</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20201130-174109-246595-496062</vt:lpwstr>
  </property>
</Properties>
</file>