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Forespørgsel til skriftlig besvarelse E-007085/2020</w:t>
      </w:r>
    </w:p>
    <w:p>
      <w:pPr>
        <w:pStyle w:val="Arial10"/>
      </w:pPr>
      <w:r>
        <w:rPr>
          <w:rStyle w:val="Bold"/>
        </w:rPr>
        <w:t>til Kommissionen</w:t>
      </w:r>
    </w:p>
    <w:p>
      <w:pPr>
        <w:pStyle w:val="Arial10"/>
      </w:pPr>
      <w:r>
        <w:t>jf. forretningsordenens artikel 138</w:t>
      </w:r>
    </w:p>
    <w:p>
      <w:pPr>
        <w:pStyle w:val="Arial10After10"/>
      </w:pPr>
      <w:r>
        <w:rPr>
          <w:rStyle w:val="Bold"/>
        </w:rPr>
        <w:t>María Soraya Rodríguez Ramos</w:t>
      </w:r>
      <w:r>
        <w:t xml:space="preserve"> (</w:t>
      </w:r>
      <w:r>
        <w:t>Renew</w:t>
      </w:r>
      <w:r>
        <w:t xml:space="preserve">), </w:t>
      </w:r>
      <w:r>
        <w:rPr>
          <w:rStyle w:val="Bold"/>
        </w:rPr>
        <w:t>Véronique Trillet-Lenoir</w:t>
      </w:r>
      <w:r>
        <w:t xml:space="preserve"> (</w:t>
      </w:r>
      <w:r>
        <w:t>Renew</w:t>
      </w:r>
      <w:r>
        <w:t xml:space="preserve">), </w:t>
      </w:r>
      <w:r>
        <w:rPr>
          <w:rStyle w:val="Bold"/>
        </w:rPr>
        <w:t>Martin Hojsík</w:t>
      </w:r>
      <w:r>
        <w:t xml:space="preserve"> (</w:t>
      </w:r>
      <w:r>
        <w:t>Renew</w:t>
      </w:r>
      <w:r>
        <w:t xml:space="preserve">), </w:t>
      </w:r>
      <w:r>
        <w:rPr>
          <w:rStyle w:val="Bold"/>
        </w:rPr>
        <w:t>Nils Torvalds</w:t>
      </w:r>
      <w:r>
        <w:t xml:space="preserve"> (</w:t>
      </w:r>
      <w:r>
        <w:t>Renew</w:t>
      </w:r>
      <w:r>
        <w:t xml:space="preserve">), </w:t>
      </w:r>
      <w:r>
        <w:rPr>
          <w:rStyle w:val="Bold"/>
        </w:rPr>
        <w:t>Luis Garicano</w:t>
      </w:r>
      <w:r>
        <w:t xml:space="preserve"> (</w:t>
      </w:r>
      <w:r>
        <w:t>Renew</w:t>
      </w:r>
      <w:r>
        <w:t xml:space="preserve">), </w:t>
      </w:r>
      <w:r>
        <w:rPr>
          <w:rStyle w:val="Bold"/>
        </w:rPr>
        <w:t>Sophia in  't Veld</w:t>
      </w:r>
      <w:r>
        <w:t xml:space="preserve"> (</w:t>
      </w:r>
      <w:r>
        <w:t>Renew</w:t>
      </w:r>
      <w:r>
        <w:t xml:space="preserve">), </w:t>
      </w:r>
      <w:r>
        <w:rPr>
          <w:rStyle w:val="Bold"/>
        </w:rPr>
        <w:t>Susana Solís Pérez</w:t>
      </w:r>
      <w:r>
        <w:t xml:space="preserve"> (</w:t>
      </w:r>
      <w:r>
        <w:t>Renew</w:t>
      </w:r>
      <w:r>
        <w:t xml:space="preserve">), </w:t>
      </w:r>
      <w:r>
        <w:rPr>
          <w:rStyle w:val="Bold"/>
        </w:rPr>
        <w:t>Ulrike Müller</w:t>
      </w:r>
      <w:r>
        <w:t xml:space="preserve"> (</w:t>
      </w:r>
      <w:r>
        <w:t>Renew</w:t>
      </w:r>
      <w:r>
        <w:t xml:space="preserve">), </w:t>
      </w:r>
      <w:r>
        <w:rPr>
          <w:rStyle w:val="Bold"/>
        </w:rPr>
        <w:t>Irena Joveva</w:t>
      </w:r>
      <w:r>
        <w:t xml:space="preserve"> (</w:t>
      </w:r>
      <w:r>
        <w:t>Renew</w:t>
      </w:r>
      <w:r>
        <w:t xml:space="preserve">), </w:t>
      </w:r>
      <w:r>
        <w:rPr>
          <w:rStyle w:val="Bold"/>
        </w:rPr>
        <w:t>Nicolae Ştefănuță</w:t>
      </w:r>
      <w:r>
        <w:t xml:space="preserve"> (</w:t>
      </w:r>
      <w:r>
        <w:t>Renew</w:t>
      </w:r>
      <w:r>
        <w:t xml:space="preserve">), </w:t>
      </w:r>
      <w:r>
        <w:rPr>
          <w:rStyle w:val="Bold"/>
        </w:rPr>
        <w:t>Hilde Vautmans</w:t>
      </w:r>
      <w:r>
        <w:t xml:space="preserve"> (</w:t>
      </w:r>
      <w:r>
        <w:t>Renew</w:t>
      </w:r>
      <w:r>
        <w:t xml:space="preserve">), </w:t>
      </w:r>
      <w:r>
        <w:rPr>
          <w:rStyle w:val="Bold"/>
        </w:rPr>
        <w:t>Frédérique Ries</w:t>
      </w:r>
      <w:r>
        <w:t xml:space="preserve"> (</w:t>
      </w:r>
      <w:r>
        <w:t>Renew</w:t>
      </w:r>
      <w:r>
        <w:t xml:space="preserve">), </w:t>
      </w:r>
      <w:r>
        <w:rPr>
          <w:rStyle w:val="Bold"/>
        </w:rPr>
        <w:t>Nicola Danti</w:t>
      </w:r>
      <w:r>
        <w:t xml:space="preserve"> (</w:t>
      </w:r>
      <w:r>
        <w:t>Renew</w:t>
      </w:r>
      <w:r>
        <w:t xml:space="preserve">), </w:t>
      </w:r>
      <w:r>
        <w:rPr>
          <w:rStyle w:val="Bold"/>
        </w:rPr>
        <w:t>Ondřej Knotek</w:t>
      </w:r>
      <w:r>
        <w:t xml:space="preserve"> (</w:t>
      </w:r>
      <w:r>
        <w:t>Renew</w:t>
      </w:r>
      <w:r>
        <w:t xml:space="preserve">), </w:t>
      </w:r>
      <w:r>
        <w:rPr>
          <w:rStyle w:val="Bold"/>
        </w:rPr>
        <w:t>Olivier Chastel</w:t>
      </w:r>
      <w:r>
        <w:t xml:space="preserve"> (</w:t>
      </w:r>
      <w:r>
        <w:t>Renew</w:t>
      </w:r>
      <w:r>
        <w:t xml:space="preserve">), </w:t>
      </w:r>
      <w:r>
        <w:rPr>
          <w:rStyle w:val="Bold"/>
        </w:rPr>
        <w:t>Maite Pagazaurtundúa</w:t>
      </w:r>
      <w:r>
        <w:t xml:space="preserve"> (</w:t>
      </w:r>
      <w:r>
        <w:t>Renew</w:t>
      </w:r>
      <w:r>
        <w:t xml:space="preserve">), </w:t>
      </w:r>
      <w:r>
        <w:rPr>
          <w:rStyle w:val="Bold"/>
        </w:rPr>
        <w:t>Laurence Farreng</w:t>
      </w:r>
      <w:r>
        <w:t xml:space="preserve"> (</w:t>
      </w:r>
      <w:r>
        <w:t>Renew</w:t>
      </w:r>
      <w:r>
        <w:t xml:space="preserve">), </w:t>
      </w:r>
      <w:r>
        <w:rPr>
          <w:rStyle w:val="Bold"/>
        </w:rPr>
        <w:t>Javier Nart</w:t>
      </w:r>
      <w:r>
        <w:t xml:space="preserve"> (</w:t>
      </w:r>
      <w:r>
        <w:t>Renew</w:t>
      </w:r>
      <w:r>
        <w:t xml:space="preserve">), </w:t>
      </w:r>
      <w:r>
        <w:rPr>
          <w:rStyle w:val="Bold"/>
        </w:rPr>
        <w:t>Dita Charanzová</w:t>
      </w:r>
      <w:r>
        <w:t xml:space="preserve"> (</w:t>
      </w:r>
      <w:r>
        <w:t>Renew</w:t>
      </w:r>
      <w:r>
        <w:t xml:space="preserve">), </w:t>
      </w:r>
      <w:r>
        <w:rPr>
          <w:rStyle w:val="Bold"/>
        </w:rPr>
        <w:t>Adrián Vázquez Lázara</w:t>
      </w:r>
      <w:r>
        <w:t xml:space="preserve"> (</w:t>
      </w:r>
      <w:r>
        <w:t>Renew</w:t>
      </w:r>
      <w:r>
        <w:t xml:space="preserve">), </w:t>
      </w:r>
      <w:r>
        <w:rPr>
          <w:rStyle w:val="Bold"/>
        </w:rPr>
        <w:t>Karen Melchior</w:t>
      </w:r>
      <w:r>
        <w:t xml:space="preserve"> (</w:t>
      </w:r>
      <w:r>
        <w:t>Renew</w:t>
      </w:r>
      <w:r>
        <w:t xml:space="preserve">), </w:t>
      </w:r>
      <w:r>
        <w:rPr>
          <w:rStyle w:val="Bold"/>
        </w:rPr>
        <w:t>Michal Šimečka</w:t>
      </w:r>
      <w:r>
        <w:t xml:space="preserve"> (</w:t>
      </w:r>
      <w:r>
        <w:t>Renew</w:t>
      </w:r>
      <w:r>
        <w:t xml:space="preserve">), </w:t>
      </w:r>
      <w:r>
        <w:rPr>
          <w:rStyle w:val="Bold"/>
        </w:rPr>
        <w:t>Chrysoula Zacharopoulou</w:t>
      </w:r>
      <w:r>
        <w:t xml:space="preserve"> (</w:t>
      </w:r>
      <w:r>
        <w:t>Renew</w:t>
      </w:r>
      <w:r>
        <w:t xml:space="preserve">), </w:t>
      </w:r>
      <w:r>
        <w:rPr>
          <w:rStyle w:val="Bold"/>
        </w:rPr>
        <w:t>Jan Huitema</w:t>
      </w:r>
      <w:r>
        <w:t xml:space="preserve"> (</w:t>
      </w:r>
      <w:r>
        <w:t>Renew</w:t>
      </w:r>
      <w:r>
        <w:t xml:space="preserve">), </w:t>
      </w:r>
      <w:r>
        <w:rPr>
          <w:rStyle w:val="Bold"/>
        </w:rPr>
        <w:t>Vlad Gheorghe</w:t>
      </w:r>
      <w:r>
        <w:t xml:space="preserve"> (</w:t>
      </w:r>
      <w:r>
        <w:t>Renew</w:t>
      </w:r>
      <w:r>
        <w:t xml:space="preserve">), </w:t>
      </w:r>
      <w:r>
        <w:rPr>
          <w:rStyle w:val="Bold"/>
        </w:rPr>
        <w:t>Irène Tolleret</w:t>
      </w:r>
      <w:r>
        <w:t xml:space="preserve"> (</w:t>
      </w:r>
      <w:r>
        <w:t>Renew</w:t>
      </w:r>
      <w:r>
        <w:t xml:space="preserve">), </w:t>
      </w:r>
      <w:r>
        <w:rPr>
          <w:rStyle w:val="Bold"/>
        </w:rPr>
        <w:t>Sandro Gozi</w:t>
      </w:r>
      <w:r>
        <w:t xml:space="preserve"> (</w:t>
      </w:r>
      <w:r>
        <w:t>Renew</w:t>
      </w:r>
      <w:r>
        <w:t xml:space="preserve">), </w:t>
      </w:r>
      <w:r>
        <w:rPr>
          <w:rStyle w:val="Bold"/>
        </w:rPr>
        <w:t>Pascal Canfin</w:t>
      </w:r>
      <w:r>
        <w:t xml:space="preserve"> (</w:t>
      </w:r>
      <w:r>
        <w:t>Renew</w:t>
      </w:r>
      <w:r>
        <w:t>)</w:t>
      </w:r>
    </w:p>
    <w:p>
      <w:pPr>
        <w:pStyle w:val="Subject"/>
      </w:pPr>
      <w:r>
        <w:t>Om</w:t>
      </w:r>
      <w:r>
        <w:t>:</w:t>
      </w:r>
      <w:r>
        <w:tab/>
      </w:r>
      <w:r>
        <w:t>Udvikling af et fælles EU-vaccinationskort i lyset af covid-19-epidemien</w:t>
      </w:r>
    </w:p>
    <w:p>
      <w:pPr>
        <w:pStyle w:val="Body"/>
      </w:pPr>
      <w:r>
        <w:t>I sit forslag til Rådets henstilling om et styrket samarbejde mod sygdomme, der kan forebygges ved vaccination (COM(2018)0244), redegjorde Kommissionen for sin hensigt om at undersøge muligheden for at udvikle et fælles vaccinationskort for mennesker i EU senest i 2021. Et sådant vaccinationskort skulle tage hensyn til nationale vaccinationsskemaer, være kompatibelt med elektroniske vaccinationsinformationsudvekslingssystemer samt være godkendt til brug på tværs af grænserne for at mindske overlapning.</w:t>
      </w:r>
    </w:p>
    <w:p>
      <w:pPr>
        <w:pStyle w:val="Body"/>
      </w:pPr>
      <w:r>
        <w:t>Indførelsen af et fælles vaccinationskort er desto mere presserende i lyset af den umiddelbart forestående udrulning af covid-19-vacciner. Personer i EU, der har modtaget vaccinen, bør kunne dokumentere dette over for myndighederne på en nem og effektiv måde uden negative konsekvenser for deres personoplysninger og privatlivets fred. Vaccinationskortet ville kunne lette rejser under pandemien, styrke argumenterne for at anvende vacciner, støtte overvågningen af vaccination og gennem opnåelse af vaccinationsimmunitet ultimativt sætte en stopper for pandemirelaterede restriktioner. Et fælles covid-19-vaccinationskort kunne bidrage til den langsigtede styring af pandemien og samtidig danne grundlag for et generelt europæisk kort for alle vacciner fremover.</w:t>
      </w:r>
    </w:p>
    <w:p>
      <w:pPr>
        <w:pStyle w:val="Body"/>
      </w:pPr>
      <w:r>
        <w:t>Agter Kommissionen i betragtning af covid-19-pandemiens presserende karakter at fremlægge et forslag til et fælles vaccinationskort i 2021, og hvordan vil et sådant forslag garantere beskyttelsen af personoplysninger, privatlivets fred og bevarelsen af de grundlæggende rettigheder?</w:t>
      </w:r>
    </w:p>
    <w:sectPr>
      <w:footerReference w:type="even" r:id="rId4"/>
      <w:footerReference w:type="default" r:id="rId5"/>
      <w:footerReference w:type="first" r:id="rId6"/>
      <w:pgSz w:w="11906" w:h="16838"/>
      <w:pgMar w:top="1440" w:right="1440" w:bottom="2000" w:left="1440" w:header="568" w:footer="568"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Forespørgsel til skriftlig besvarelse</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20210111-154331-000472-643188</vt:lpwstr>
  </property>
</Properties>
</file>