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Interrogazione con richiesta di risposta scritta E-007085/2020</w:t>
      </w:r>
    </w:p>
    <w:p>
      <w:pPr>
        <w:pStyle w:val="Arial10"/>
      </w:pPr>
      <w:r>
        <w:rPr>
          <w:rStyle w:val="Bold"/>
        </w:rPr>
        <w:t>alla Commissione</w:t>
      </w:r>
    </w:p>
    <w:p>
      <w:pPr>
        <w:pStyle w:val="Arial10"/>
      </w:pPr>
      <w:r>
        <w:t>Articolo 138 del regolamento</w:t>
      </w:r>
    </w:p>
    <w:p>
      <w:pPr>
        <w:pStyle w:val="Arial10After10"/>
      </w:pPr>
      <w:r>
        <w:rPr>
          <w:rStyle w:val="Bold"/>
        </w:rPr>
        <w:t>María Soraya Rodríguez Ramos</w:t>
      </w:r>
      <w:r>
        <w:t xml:space="preserve"> (</w:t>
      </w:r>
      <w:r>
        <w:t>Renew</w:t>
      </w:r>
      <w:r>
        <w:t xml:space="preserve">), </w:t>
      </w:r>
      <w:r>
        <w:rPr>
          <w:rStyle w:val="Bold"/>
        </w:rPr>
        <w:t>Véronique Trillet-Lenoir</w:t>
      </w:r>
      <w:r>
        <w:t xml:space="preserve"> (</w:t>
      </w:r>
      <w:r>
        <w:t>Renew</w:t>
      </w:r>
      <w:r>
        <w:t xml:space="preserve">), </w:t>
      </w:r>
      <w:r>
        <w:rPr>
          <w:rStyle w:val="Bold"/>
        </w:rPr>
        <w:t>Martin Hojsík</w:t>
      </w:r>
      <w:r>
        <w:t xml:space="preserve"> (</w:t>
      </w:r>
      <w:r>
        <w:t>Renew</w:t>
      </w:r>
      <w:r>
        <w:t xml:space="preserve">), </w:t>
      </w:r>
      <w:r>
        <w:rPr>
          <w:rStyle w:val="Bold"/>
        </w:rPr>
        <w:t>Nils Torvalds</w:t>
      </w:r>
      <w:r>
        <w:t xml:space="preserve"> (</w:t>
      </w:r>
      <w:r>
        <w:t>Renew</w:t>
      </w:r>
      <w:r>
        <w:t xml:space="preserve">), </w:t>
      </w:r>
      <w:r>
        <w:rPr>
          <w:rStyle w:val="Bold"/>
        </w:rPr>
        <w:t>Luis Garicano</w:t>
      </w:r>
      <w:r>
        <w:t xml:space="preserve"> (</w:t>
      </w:r>
      <w:r>
        <w:t>Renew</w:t>
      </w:r>
      <w:r>
        <w:t xml:space="preserve">), </w:t>
      </w:r>
      <w:r>
        <w:rPr>
          <w:rStyle w:val="Bold"/>
        </w:rPr>
        <w:t>Sophia in  't Veld</w:t>
      </w:r>
      <w:r>
        <w:t xml:space="preserve"> (</w:t>
      </w:r>
      <w:r>
        <w:t>Renew</w:t>
      </w:r>
      <w:r>
        <w:t xml:space="preserve">), </w:t>
      </w:r>
      <w:r>
        <w:rPr>
          <w:rStyle w:val="Bold"/>
        </w:rPr>
        <w:t>Susana Solís Pérez</w:t>
      </w:r>
      <w:r>
        <w:t xml:space="preserve"> (</w:t>
      </w:r>
      <w:r>
        <w:t>Renew</w:t>
      </w:r>
      <w:r>
        <w:t xml:space="preserve">), </w:t>
      </w:r>
      <w:r>
        <w:rPr>
          <w:rStyle w:val="Bold"/>
        </w:rPr>
        <w:t>Ulrike Müller</w:t>
      </w:r>
      <w:r>
        <w:t xml:space="preserve"> (</w:t>
      </w:r>
      <w:r>
        <w:t>Renew</w:t>
      </w:r>
      <w:r>
        <w:t xml:space="preserve">), </w:t>
      </w:r>
      <w:r>
        <w:rPr>
          <w:rStyle w:val="Bold"/>
        </w:rPr>
        <w:t>Irena Joveva</w:t>
      </w:r>
      <w:r>
        <w:t xml:space="preserve"> (</w:t>
      </w:r>
      <w:r>
        <w:t>Renew</w:t>
      </w:r>
      <w:r>
        <w:t xml:space="preserve">), </w:t>
      </w:r>
      <w:r>
        <w:rPr>
          <w:rStyle w:val="Bold"/>
        </w:rPr>
        <w:t>Nicolae Ştefănuță</w:t>
      </w:r>
      <w:r>
        <w:t xml:space="preserve"> (</w:t>
      </w:r>
      <w:r>
        <w:t>Renew</w:t>
      </w:r>
      <w:r>
        <w:t xml:space="preserve">), </w:t>
      </w:r>
      <w:r>
        <w:rPr>
          <w:rStyle w:val="Bold"/>
        </w:rPr>
        <w:t>Hilde Vautmans</w:t>
      </w:r>
      <w:r>
        <w:t xml:space="preserve"> (</w:t>
      </w:r>
      <w:r>
        <w:t>Renew</w:t>
      </w:r>
      <w:r>
        <w:t xml:space="preserve">), </w:t>
      </w:r>
      <w:r>
        <w:rPr>
          <w:rStyle w:val="Bold"/>
        </w:rPr>
        <w:t>Frédérique Ries</w:t>
      </w:r>
      <w:r>
        <w:t xml:space="preserve"> (</w:t>
      </w:r>
      <w:r>
        <w:t>Renew</w:t>
      </w:r>
      <w:r>
        <w:t xml:space="preserve">), </w:t>
      </w:r>
      <w:r>
        <w:rPr>
          <w:rStyle w:val="Bold"/>
        </w:rPr>
        <w:t>Nicola Danti</w:t>
      </w:r>
      <w:r>
        <w:t xml:space="preserve"> (</w:t>
      </w:r>
      <w:r>
        <w:t>Renew</w:t>
      </w:r>
      <w:r>
        <w:t xml:space="preserve">), </w:t>
      </w:r>
      <w:r>
        <w:rPr>
          <w:rStyle w:val="Bold"/>
        </w:rPr>
        <w:t>Ondřej Knotek</w:t>
      </w:r>
      <w:r>
        <w:t xml:space="preserve"> (</w:t>
      </w:r>
      <w:r>
        <w:t>Renew</w:t>
      </w:r>
      <w:r>
        <w:t xml:space="preserve">), </w:t>
      </w:r>
      <w:r>
        <w:rPr>
          <w:rStyle w:val="Bold"/>
        </w:rPr>
        <w:t>Olivier Chastel</w:t>
      </w:r>
      <w:r>
        <w:t xml:space="preserve"> (</w:t>
      </w:r>
      <w:r>
        <w:t>Renew</w:t>
      </w:r>
      <w:r>
        <w:t xml:space="preserve">), </w:t>
      </w:r>
      <w:r>
        <w:rPr>
          <w:rStyle w:val="Bold"/>
        </w:rPr>
        <w:t>Maite Pagazaurtundúa</w:t>
      </w:r>
      <w:r>
        <w:t xml:space="preserve"> (</w:t>
      </w:r>
      <w:r>
        <w:t>Renew</w:t>
      </w:r>
      <w:r>
        <w:t xml:space="preserve">), </w:t>
      </w:r>
      <w:r>
        <w:rPr>
          <w:rStyle w:val="Bold"/>
        </w:rPr>
        <w:t>Laurence Farreng</w:t>
      </w:r>
      <w:r>
        <w:t xml:space="preserve"> (</w:t>
      </w:r>
      <w:r>
        <w:t>Renew</w:t>
      </w:r>
      <w:r>
        <w:t xml:space="preserve">), </w:t>
      </w:r>
      <w:r>
        <w:rPr>
          <w:rStyle w:val="Bold"/>
        </w:rPr>
        <w:t>Javier Nart</w:t>
      </w:r>
      <w:r>
        <w:t xml:space="preserve"> (</w:t>
      </w:r>
      <w:r>
        <w:t>Renew</w:t>
      </w:r>
      <w:r>
        <w:t xml:space="preserve">), </w:t>
      </w:r>
      <w:r>
        <w:rPr>
          <w:rStyle w:val="Bold"/>
        </w:rPr>
        <w:t>Dita Charanzová</w:t>
      </w:r>
      <w:r>
        <w:t xml:space="preserve"> (</w:t>
      </w:r>
      <w:r>
        <w:t>Renew</w:t>
      </w:r>
      <w:r>
        <w:t xml:space="preserve">), </w:t>
      </w:r>
      <w:r>
        <w:rPr>
          <w:rStyle w:val="Bold"/>
        </w:rPr>
        <w:t>Adrián Vázquez Lázara</w:t>
      </w:r>
      <w:r>
        <w:t xml:space="preserve"> (</w:t>
      </w:r>
      <w:r>
        <w:t>Renew</w:t>
      </w:r>
      <w:r>
        <w:t xml:space="preserve">), </w:t>
      </w:r>
      <w:r>
        <w:rPr>
          <w:rStyle w:val="Bold"/>
        </w:rPr>
        <w:t>Karen Melchior</w:t>
      </w:r>
      <w:r>
        <w:t xml:space="preserve"> (</w:t>
      </w:r>
      <w:r>
        <w:t>Renew</w:t>
      </w:r>
      <w:r>
        <w:t xml:space="preserve">), </w:t>
      </w:r>
      <w:r>
        <w:rPr>
          <w:rStyle w:val="Bold"/>
        </w:rPr>
        <w:t>Michal Šimečka</w:t>
      </w:r>
      <w:r>
        <w:t xml:space="preserve"> (</w:t>
      </w:r>
      <w:r>
        <w:t>Renew</w:t>
      </w:r>
      <w:r>
        <w:t xml:space="preserve">), </w:t>
      </w:r>
      <w:r>
        <w:rPr>
          <w:rStyle w:val="Bold"/>
        </w:rPr>
        <w:t>Chrysoula Zacharopoulou</w:t>
      </w:r>
      <w:r>
        <w:t xml:space="preserve"> (</w:t>
      </w:r>
      <w:r>
        <w:t>Renew</w:t>
      </w:r>
      <w:r>
        <w:t xml:space="preserve">), </w:t>
      </w:r>
      <w:r>
        <w:rPr>
          <w:rStyle w:val="Bold"/>
        </w:rPr>
        <w:t>Jan Huitema</w:t>
      </w:r>
      <w:r>
        <w:t xml:space="preserve"> (</w:t>
      </w:r>
      <w:r>
        <w:t>Renew</w:t>
      </w:r>
      <w:r>
        <w:t xml:space="preserve">), </w:t>
      </w:r>
      <w:r>
        <w:rPr>
          <w:rStyle w:val="Bold"/>
        </w:rPr>
        <w:t>Vlad Gheorghe</w:t>
      </w:r>
      <w:r>
        <w:t xml:space="preserve"> (</w:t>
      </w:r>
      <w:r>
        <w:t>Renew</w:t>
      </w:r>
      <w:r>
        <w:t xml:space="preserve">), </w:t>
      </w:r>
      <w:r>
        <w:rPr>
          <w:rStyle w:val="Bold"/>
        </w:rPr>
        <w:t>Irène Tolleret</w:t>
      </w:r>
      <w:r>
        <w:t xml:space="preserve"> (</w:t>
      </w:r>
      <w:r>
        <w:t>Renew</w:t>
      </w:r>
      <w:r>
        <w:t xml:space="preserve">), </w:t>
      </w:r>
      <w:r>
        <w:rPr>
          <w:rStyle w:val="Bold"/>
        </w:rPr>
        <w:t>Sandro Gozi</w:t>
      </w:r>
      <w:r>
        <w:t xml:space="preserve"> (</w:t>
      </w:r>
      <w:r>
        <w:t>Renew</w:t>
      </w:r>
      <w:r>
        <w:t xml:space="preserve">), </w:t>
      </w:r>
      <w:r>
        <w:rPr>
          <w:rStyle w:val="Bold"/>
        </w:rPr>
        <w:t>Pascal Canfin</w:t>
      </w:r>
      <w:r>
        <w:t xml:space="preserve"> (</w:t>
      </w:r>
      <w:r>
        <w:t>Renew</w:t>
      </w:r>
      <w:r>
        <w:t>)</w:t>
      </w:r>
    </w:p>
    <w:p>
      <w:pPr>
        <w:pStyle w:val="Subject"/>
      </w:pPr>
      <w:r>
        <w:t>Oggetto</w:t>
      </w:r>
      <w:r>
        <w:t>:</w:t>
      </w:r>
      <w:r>
        <w:tab/>
      </w:r>
      <w:r>
        <w:t>sviluppare una tessera di vaccinazione comune nell'UE nel quadro della pandemia di COVID-19</w:t>
      </w:r>
    </w:p>
    <w:p>
      <w:pPr>
        <w:pStyle w:val="Body"/>
      </w:pPr>
      <w:r>
        <w:t>Nella sua proposta di raccomandazione del Consiglio relativa al rafforzamento della cooperazione nella lotta contro le malattie prevenibili da vaccino (COM(2018)0244), la Commissione ha espresso l'intenzione di esaminare la fattibilità di sviluppare una tessera di vaccinazione comune per le persone nell'UE entro il 2021. Detta tessera terrebbe conto dei programmi di vaccinazione nazionali, sarebbe compatibile con i sistemi informativi sulla vaccinazione e sarebbe accreditata per l'uso transfrontaliero, riducendo in tal modo le duplicazioni.</w:t>
      </w:r>
    </w:p>
    <w:p>
      <w:pPr>
        <w:pStyle w:val="Body"/>
      </w:pPr>
      <w:r>
        <w:t>L'adozione di una tessera di vaccinazione comune è ancora più urgente alla luce della prima distribuzione dei vaccini contro la COVID-19. I cittadini dell'Unione che hanno ricevuto il vaccino dovrebbero essere in grado di dimostrarlo alle autorità in modo facile ed efficace, senza che i loro dati personali e la loro vita privata siano compromessi. La tessera di vaccinazione potrebbe facilitare gli spostamenti durante la pandemia, rafforzare le argomentazioni a favore dei vaccini, sostenere il monitoraggio dell'immunizzazione e, in ultima analisi, porre fine alle restrizioni dovute alla pandemia grazie all'immunità vaccinica. La tessera di vaccinazione comune per la COVID-19 potrebbe contribuire alla gestione a lungo termine della pandemia, fungendo al contempo da base per una tessera europea generale per tutti i vaccini in futuro.</w:t>
      </w:r>
    </w:p>
    <w:p>
      <w:pPr>
        <w:pStyle w:val="Body"/>
      </w:pPr>
      <w:r>
        <w:t>Data l'urgenza della pandemia di COVID-19, intende la Commissione presentare una proposta relativa a una tessera di vaccinazione comune nel 2021? In che modo tale proposta garantirà la protezione dei dati personali e della vita privata nonché la tutela dei diritti fondamentali?</w:t>
      </w:r>
    </w:p>
    <w:sectPr>
      <w:footerReference w:type="even" r:id="rId4"/>
      <w:footerReference w:type="default" r:id="rId5"/>
      <w:footerReference w:type="first" r:id="rId6"/>
      <w:pgSz w:w="11906" w:h="16838"/>
      <w:pgMar w:top="1440" w:right="1440" w:bottom="2000" w:left="1440" w:header="568" w:footer="568"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PE663.541v01-00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Interrogazione con richiesta di risposta scritta</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20210111-154337-000478-684971</vt:lpwstr>
  </property>
</Properties>
</file>