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E-001898/2021</w:t>
      </w:r>
    </w:p>
    <w:p>
      <w:pPr>
        <w:pStyle w:val="Arial10"/>
      </w:pPr>
      <w:r>
        <w:rPr>
          <w:rStyle w:val="Bold"/>
        </w:rPr>
        <w:t>alla Commissione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Anna Bonfrisco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Marco Campomenosi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Massimo Casanova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Paolo Borchia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Luisa Regimenti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Lucia Vuolo</w:t>
      </w:r>
      <w:r>
        <w:t xml:space="preserve"> (</w:t>
      </w:r>
      <w:r>
        <w:t>ID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Disparità di trattamento di ITA rispetto a Lufthansa e Air France-KLM</w:t>
      </w:r>
    </w:p>
    <w:p>
      <w:pPr>
        <w:pStyle w:val="Body"/>
      </w:pPr>
      <w:r>
        <w:t>La pandemia di COVID-19 ha duramente gravato sul trasporto aereo europeo, spingendo vari paesi a concedere aiuti alle compagnie nazionali, anche come ricapitalizzazioni. L'Italia ha deciso di costituire una nuova compagnia aerea, ITA, con un investimento pubblico iniziale sulla base della sostenibilità.</w:t>
      </w:r>
    </w:p>
    <w:p>
      <w:pPr>
        <w:pStyle w:val="Body"/>
      </w:pPr>
      <w:r>
        <w:t>A tale riguardo, il commissario UE alla Concorrenza ha richiesto la cessione di circa metà degli slot della compagnia italiana nell'aeroporto di Linate che ITA acquisirebbe da Alitalia in conformità dell'articolo 8 bis, lettera b), punto iii), del regolamento (CEE) n. 95/93, con la giustificazione di prevenire distorsioni nel mercato.</w:t>
      </w:r>
    </w:p>
    <w:p>
      <w:pPr>
        <w:pStyle w:val="Body"/>
      </w:pPr>
      <w:r>
        <w:t>Nonostante altre compagnie come Lufthansa e Air France-KLM abbiano richiesto di accedere ad aiuti statali, le condizioni sono diverse: Air France cederebbe 6,5 % degli slot a Orly, Lufthansa 3 % a Monaco e 1,5 % a Francoforte e KLM 3 % ad Amsterdam.</w:t>
      </w:r>
    </w:p>
    <w:p>
      <w:pPr>
        <w:pStyle w:val="Body"/>
      </w:pPr>
      <w:r>
        <w:t>Ciò premesso, si chiede alla Commissione di rispondere alle seguenti domande:</w:t>
      </w:r>
    </w:p>
    <w:p>
      <w:pPr>
        <w:pStyle w:val="itemList"/>
      </w:pPr>
      <w:r>
        <w:t>1.</w:t>
      </w:r>
      <w:r>
        <w:tab/>
      </w:r>
      <w:r>
        <w:t>ritiene di chiarire i parametri tecnici-normativi, in riferimento agli slot, alla base della valutazione e ritiene di doverli integrare con ulteriori elementi?</w:t>
      </w:r>
    </w:p>
    <w:p>
      <w:pPr>
        <w:pStyle w:val="itemList"/>
      </w:pPr>
      <w:r>
        <w:t>2.</w:t>
      </w:r>
      <w:r>
        <w:tab/>
      </w:r>
      <w:r>
        <w:t>ritiene appropriato che le valutazioni siano svolte su bilanci e competitività prima della pandemia?</w:t>
      </w:r>
    </w:p>
    <w:p>
      <w:pPr>
        <w:pStyle w:val="itemList"/>
      </w:pPr>
      <w:r>
        <w:t>3.</w:t>
      </w:r>
      <w:r>
        <w:tab/>
      </w:r>
      <w:r>
        <w:t>è consapevole che le richieste formulate assesterebbero un colpo durissimo alla nuova compagnia, che già deve implementare la nuova strategia industriale in un contesto di mercato difficile a seguito della pandemia?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PE691.812v01-00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PE691.812v01-00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PE691.812v01-00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20210426-123126-169413-591108</vt:lpwstr>
  </property>
</Properties>
</file>