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Anfrage zur schriftlichen Beantwortung E-003360/2021</w:t>
      </w:r>
    </w:p>
    <w:p>
      <w:pPr>
        <w:pStyle w:val="Arial10"/>
      </w:pPr>
      <w:r>
        <w:rPr>
          <w:rStyle w:val="Bold"/>
        </w:rPr>
        <w:t>an die Kommission</w:t>
      </w:r>
    </w:p>
    <w:p>
      <w:pPr>
        <w:pStyle w:val="Arial10"/>
      </w:pPr>
      <w:r>
        <w:t>Artikel 138 der Geschäftsordnung</w:t>
      </w:r>
    </w:p>
    <w:p>
      <w:pPr>
        <w:pStyle w:val="Arial10After10"/>
      </w:pPr>
      <w:r>
        <w:rPr>
          <w:rStyle w:val="Bold"/>
        </w:rPr>
        <w:t>Sylwia Spurek</w:t>
      </w:r>
      <w:r>
        <w:t xml:space="preserve"> (</w:t>
      </w:r>
      <w:r>
        <w:t>Verts/ALE</w:t>
      </w:r>
      <w:r>
        <w:t xml:space="preserve">), </w:t>
      </w:r>
      <w:r>
        <w:rPr>
          <w:rStyle w:val="Bold"/>
        </w:rPr>
        <w:t>Saskia Bricmont</w:t>
      </w:r>
      <w:r>
        <w:t xml:space="preserve"> (</w:t>
      </w:r>
      <w:r>
        <w:t>Verts/ALE</w:t>
      </w:r>
      <w:r>
        <w:t xml:space="preserve">), </w:t>
      </w:r>
      <w:r>
        <w:rPr>
          <w:rStyle w:val="Bold"/>
        </w:rPr>
        <w:t>Anna Cavazzini</w:t>
      </w:r>
      <w:r>
        <w:t xml:space="preserve"> (</w:t>
      </w:r>
      <w:r>
        <w:t>Verts/ALE</w:t>
      </w:r>
      <w:r>
        <w:t xml:space="preserve">), </w:t>
      </w:r>
      <w:r>
        <w:rPr>
          <w:rStyle w:val="Bold"/>
        </w:rPr>
        <w:t>Sara Matthieu</w:t>
      </w:r>
      <w:r>
        <w:t xml:space="preserve"> (</w:t>
      </w:r>
      <w:r>
        <w:t>Verts/ALE</w:t>
      </w:r>
      <w:r>
        <w:t xml:space="preserve">), </w:t>
      </w:r>
      <w:r>
        <w:rPr>
          <w:rStyle w:val="Bold"/>
        </w:rPr>
        <w:t>Francisco Guerreiro</w:t>
      </w:r>
      <w:r>
        <w:t xml:space="preserve"> (</w:t>
      </w:r>
      <w:r>
        <w:t>Verts/ALE</w:t>
      </w:r>
      <w:r>
        <w:t xml:space="preserve">), </w:t>
      </w:r>
      <w:r>
        <w:rPr>
          <w:rStyle w:val="Bold"/>
        </w:rPr>
        <w:t>Michael Bloss</w:t>
      </w:r>
      <w:r>
        <w:t xml:space="preserve"> (</w:t>
      </w:r>
      <w:r>
        <w:t>Verts/ALE</w:t>
      </w:r>
      <w:r>
        <w:t xml:space="preserve">), </w:t>
      </w:r>
      <w:r>
        <w:rPr>
          <w:rStyle w:val="Bold"/>
        </w:rPr>
        <w:t>Marie Toussaint</w:t>
      </w:r>
      <w:r>
        <w:t xml:space="preserve"> (</w:t>
      </w:r>
      <w:r>
        <w:t>Verts/ALE</w:t>
      </w:r>
      <w:r>
        <w:t xml:space="preserve">), </w:t>
      </w:r>
      <w:r>
        <w:rPr>
          <w:rStyle w:val="Bold"/>
        </w:rPr>
        <w:t>Grace O'Sullivan</w:t>
      </w:r>
      <w:r>
        <w:t xml:space="preserve"> (</w:t>
      </w:r>
      <w:r>
        <w:t>Verts/ALE</w:t>
      </w:r>
      <w:r>
        <w:t xml:space="preserve">), </w:t>
      </w:r>
      <w:r>
        <w:rPr>
          <w:rStyle w:val="Bold"/>
        </w:rPr>
        <w:t>Damien Carême</w:t>
      </w:r>
      <w:r>
        <w:t xml:space="preserve"> (</w:t>
      </w:r>
      <w:r>
        <w:t>Verts/ALE</w:t>
      </w:r>
      <w:r>
        <w:t xml:space="preserve">), </w:t>
      </w:r>
      <w:r>
        <w:rPr>
          <w:rStyle w:val="Bold"/>
        </w:rPr>
        <w:t>Tilly Metz</w:t>
      </w:r>
      <w:r>
        <w:t xml:space="preserve"> (</w:t>
      </w:r>
      <w:r>
        <w:t>Verts/ALE</w:t>
      </w:r>
      <w:r>
        <w:t xml:space="preserve">), </w:t>
      </w:r>
      <w:r>
        <w:rPr>
          <w:rStyle w:val="Bold"/>
        </w:rPr>
        <w:t>Bronis Ropė</w:t>
      </w:r>
      <w:r>
        <w:t xml:space="preserve"> (</w:t>
      </w:r>
      <w:r>
        <w:t>Verts/ALE</w:t>
      </w:r>
      <w:r>
        <w:t xml:space="preserve">), </w:t>
      </w:r>
      <w:r>
        <w:rPr>
          <w:rStyle w:val="Bold"/>
        </w:rPr>
        <w:t>Claude Gruffat</w:t>
      </w:r>
      <w:r>
        <w:t xml:space="preserve"> (</w:t>
      </w:r>
      <w:r>
        <w:t>Verts/ALE</w:t>
      </w:r>
      <w:r>
        <w:t xml:space="preserve">), </w:t>
      </w:r>
      <w:r>
        <w:rPr>
          <w:rStyle w:val="Bold"/>
        </w:rPr>
        <w:t>Benoît Biteau</w:t>
      </w:r>
      <w:r>
        <w:t xml:space="preserve"> (</w:t>
      </w:r>
      <w:r>
        <w:t>Verts/ALE</w:t>
      </w:r>
      <w:r>
        <w:t xml:space="preserve">), </w:t>
      </w:r>
      <w:r>
        <w:rPr>
          <w:rStyle w:val="Bold"/>
        </w:rPr>
        <w:t>Caroline Roose</w:t>
      </w:r>
      <w:r>
        <w:t xml:space="preserve"> (</w:t>
      </w:r>
      <w:r>
        <w:t>Verts/ALE</w:t>
      </w:r>
      <w:r>
        <w:t xml:space="preserve">), </w:t>
      </w:r>
      <w:r>
        <w:rPr>
          <w:rStyle w:val="Bold"/>
        </w:rPr>
        <w:t>Bas Eickhout</w:t>
      </w:r>
      <w:r>
        <w:t xml:space="preserve"> (</w:t>
      </w:r>
      <w:r>
        <w:t>Verts/ALE</w:t>
      </w:r>
      <w:r>
        <w:t xml:space="preserve">), </w:t>
      </w:r>
      <w:r>
        <w:rPr>
          <w:rStyle w:val="Bold"/>
        </w:rPr>
        <w:t>Monika Vana</w:t>
      </w:r>
      <w:r>
        <w:t xml:space="preserve"> (</w:t>
      </w:r>
      <w:r>
        <w:t>Verts/ALE</w:t>
      </w:r>
      <w:r>
        <w:t xml:space="preserve">), </w:t>
      </w:r>
      <w:r>
        <w:rPr>
          <w:rStyle w:val="Bold"/>
        </w:rPr>
        <w:t>Diana Riba i Giner</w:t>
      </w:r>
      <w:r>
        <w:t xml:space="preserve"> (</w:t>
      </w:r>
      <w:r>
        <w:t>Verts/ALE</w:t>
      </w:r>
      <w:r>
        <w:t xml:space="preserve">), </w:t>
      </w:r>
      <w:r>
        <w:rPr>
          <w:rStyle w:val="Bold"/>
        </w:rPr>
        <w:t>Salima Yenbou</w:t>
      </w:r>
      <w:r>
        <w:t xml:space="preserve"> (</w:t>
      </w:r>
      <w:r>
        <w:t>Verts/ALE</w:t>
      </w:r>
      <w:r>
        <w:t xml:space="preserve">), </w:t>
      </w:r>
      <w:r>
        <w:rPr>
          <w:rStyle w:val="Bold"/>
        </w:rPr>
        <w:t>Hannah Neumann</w:t>
      </w:r>
      <w:r>
        <w:t xml:space="preserve"> (</w:t>
      </w:r>
      <w:r>
        <w:t>Verts/ALE</w:t>
      </w:r>
      <w:r>
        <w:t xml:space="preserve">), </w:t>
      </w:r>
      <w:r>
        <w:rPr>
          <w:rStyle w:val="Bold"/>
        </w:rPr>
        <w:t>Philippe Lamberts</w:t>
      </w:r>
      <w:r>
        <w:t xml:space="preserve"> (</w:t>
      </w:r>
      <w:r>
        <w:t>Verts/ALE</w:t>
      </w:r>
      <w:r>
        <w:t xml:space="preserve">), </w:t>
      </w:r>
      <w:r>
        <w:rPr>
          <w:rStyle w:val="Bold"/>
        </w:rPr>
        <w:t>Rasmus Andresen</w:t>
      </w:r>
      <w:r>
        <w:t xml:space="preserve"> (</w:t>
      </w:r>
      <w:r>
        <w:t>Verts/ALE</w:t>
      </w:r>
      <w:r>
        <w:t xml:space="preserve">), </w:t>
      </w:r>
      <w:r>
        <w:rPr>
          <w:rStyle w:val="Bold"/>
        </w:rPr>
        <w:t>Manuela Ripa</w:t>
      </w:r>
      <w:r>
        <w:t xml:space="preserve"> (</w:t>
      </w:r>
      <w:r>
        <w:t>Verts/ALE</w:t>
      </w:r>
      <w:r>
        <w:t xml:space="preserve">), </w:t>
      </w:r>
      <w:r>
        <w:rPr>
          <w:rStyle w:val="Bold"/>
        </w:rPr>
        <w:t>Alviina Alametsä</w:t>
      </w:r>
      <w:r>
        <w:t xml:space="preserve"> (</w:t>
      </w:r>
      <w:r>
        <w:t>Verts/ALE</w:t>
      </w:r>
      <w:r>
        <w:t xml:space="preserve">), </w:t>
      </w:r>
      <w:r>
        <w:rPr>
          <w:rStyle w:val="Bold"/>
        </w:rPr>
        <w:t>Thomas Waitz</w:t>
      </w:r>
      <w:r>
        <w:t xml:space="preserve"> (</w:t>
      </w:r>
      <w:r>
        <w:t>Verts/ALE</w:t>
      </w:r>
      <w:r>
        <w:t>)</w:t>
      </w:r>
    </w:p>
    <w:p>
      <w:pPr>
        <w:pStyle w:val="Subject"/>
      </w:pPr>
      <w:r>
        <w:t>Betrifft</w:t>
      </w:r>
      <w:r>
        <w:t>:</w:t>
      </w:r>
      <w:r>
        <w:tab/>
      </w:r>
      <w:r>
        <w:t>Nachhaltigkeitsprüfung zum Handelsabkommen EU-Mercosur</w:t>
      </w:r>
    </w:p>
    <w:p>
      <w:pPr>
        <w:pStyle w:val="Body"/>
      </w:pPr>
      <w:r>
        <w:t>Selbst im vergangenen Monat wurde noch keine endgültige Nachhaltigkeitsprüfung zu dem Handelsabkommen zwischen der EU und dem Mercosur veröffentlicht. Die Europäische Bürgerbeauftragte bezeichnete diese Verzögerung als Missstand in der Verwaltungstätigkeit der Kommission. Die Nachhaltigkeitsprüfung liegt zwar inzwischen vor, doch die darin enthaltenen Informationen können nicht als zufriedenstellend und erschöpfend erachtet werden.</w:t>
      </w:r>
    </w:p>
    <w:p>
      <w:pPr>
        <w:pStyle w:val="itemList"/>
      </w:pPr>
      <w:r>
        <w:t>1.</w:t>
      </w:r>
      <w:r>
        <w:tab/>
      </w:r>
      <w:r>
        <w:t>Die Nachhaltigkeitsprüfung ist in diesem Fall wesentlich. Weshalb wurde sie also erst so lange nach Abschluss der Verhandlungen veröffentlicht?</w:t>
      </w:r>
    </w:p>
    <w:p>
      <w:pPr>
        <w:pStyle w:val="itemList"/>
      </w:pPr>
      <w:r>
        <w:t>2.</w:t>
      </w:r>
      <w:r>
        <w:tab/>
      </w:r>
      <w:r>
        <w:t>Wie will die Kommission dafür sorgen, dass bei der Umsetzung des Abkommens die Umwelt in zufriedenstellendem Maße geschützt wird, insbesondere angesichts der dramatischen Geschwindigkeit der Abholzung in den Ländern des Mercosur (die entsprechenden Daten in der Nachhaltigkeitsprüfung sind veraltet), wenn dieses Thema in dem Abkommen nicht ordnungsgemäß behandelt wird?</w:t>
      </w:r>
    </w:p>
    <w:p>
      <w:pPr>
        <w:pStyle w:val="itemList"/>
      </w:pPr>
      <w:r>
        <w:t>3.</w:t>
      </w:r>
      <w:r>
        <w:tab/>
      </w:r>
      <w:r>
        <w:t>Der Nachhaltigkeitsprüfung zufolge dürfte das Abkommen vernachlässigbare Auswirkungen auf die CO</w:t>
      </w:r>
      <w:r>
        <w:rPr>
          <w:rStyle w:val="Sub"/>
        </w:rPr>
        <w:t>2</w:t>
      </w:r>
      <w:r>
        <w:t xml:space="preserve">-Emissionen haben, doch bei den entsprechenden Berechnungen werden die Emissionen in Verbindung mit Landnutzung, Landnutzungsänderung und Forstwirtschaft (LULUCF) nicht berücksichtigt, die die Hauptquelle für CO </w:t>
      </w:r>
      <w:r>
        <w:rPr>
          <w:rStyle w:val="Sub"/>
        </w:rPr>
        <w:t>2</w:t>
      </w:r>
      <w:r>
        <w:t>-Emissionen in der Landwirtschaft sind. Verfügt die Kommission über einschlägige Analysen zu den Emissionen in Verbindung mit LULUCF? Falls ja, könnte sie Informationen darüber bereitstellen, wie sie die Gesamtemissionen aus der Umsetzung des Abkommens beeinflussen werden?</w:t>
      </w:r>
    </w:p>
    <w:p>
      <w:pPr>
        <w:pStyle w:val="Supporter"/>
      </w:pPr>
      <w:r>
        <w:rPr>
          <w:rStyle w:val="Bold"/>
        </w:rPr>
        <w:t>Unterstützer</w:t>
      </w:r>
      <w:r>
        <w:rPr>
          <w:rStyle w:val="FootnoteReference"/>
        </w:rPr>
        <w:footnoteReference w:id="0"/>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PE695.771v01-00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PE695.771v01-00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PE695.771v01-00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t>Diese Anfrage wird von einem Mitglied unterstützt, das nicht mit den Verfassern bzw. Verfasserinnen identisch ist: Rosa D'Amato (Verts/ALE)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zur schriftlichen Beantwortung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20210709-115121-057764-224048</vt:lpwstr>
  </property>
</Properties>
</file>