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Întrebarea cu solicitare de răspuns scris E-003630/2021</w:t>
      </w:r>
    </w:p>
    <w:p>
      <w:pPr>
        <w:pStyle w:val="Arial10"/>
      </w:pPr>
      <w:r>
        <w:rPr>
          <w:rStyle w:val="Bold"/>
        </w:rPr>
        <w:t>adresată Comisiei</w:t>
      </w:r>
    </w:p>
    <w:p>
      <w:pPr>
        <w:pStyle w:val="Arial10"/>
      </w:pPr>
      <w:r>
        <w:t>Articolul 138 din Regulamentul de procedură</w:t>
      </w:r>
    </w:p>
    <w:p>
      <w:pPr>
        <w:pStyle w:val="Arial10After10"/>
      </w:pPr>
      <w:r>
        <w:rPr>
          <w:rStyle w:val="Bold"/>
        </w:rPr>
        <w:t>Chiara Gemma</w:t>
      </w:r>
      <w:r>
        <w:t xml:space="preserve"> (</w:t>
      </w:r>
      <w:r>
        <w:t>NI</w:t>
      </w:r>
      <w:r>
        <w:t xml:space="preserve">), </w:t>
      </w:r>
      <w:r>
        <w:rPr>
          <w:rStyle w:val="Bold"/>
        </w:rPr>
        <w:t>Piernicola Pedicini</w:t>
      </w:r>
      <w:r>
        <w:t xml:space="preserve"> (</w:t>
      </w:r>
      <w:r>
        <w:t>Verts/ALE</w:t>
      </w:r>
      <w:r>
        <w:t xml:space="preserve">), </w:t>
      </w:r>
      <w:r>
        <w:rPr>
          <w:rStyle w:val="Bold"/>
        </w:rPr>
        <w:t>Tiziana Beghin</w:t>
      </w:r>
      <w:r>
        <w:t xml:space="preserve"> (</w:t>
      </w:r>
      <w:r>
        <w:t>NI</w:t>
      </w:r>
      <w:r>
        <w:t xml:space="preserve">), </w:t>
      </w:r>
      <w:r>
        <w:rPr>
          <w:rStyle w:val="Bold"/>
        </w:rPr>
        <w:t>Salvatore De Meo</w:t>
      </w:r>
      <w:r>
        <w:t xml:space="preserve"> (</w:t>
      </w:r>
      <w:r>
        <w:t>PPE</w:t>
      </w:r>
      <w:r>
        <w:t xml:space="preserve">), </w:t>
      </w:r>
      <w:r>
        <w:rPr>
          <w:rStyle w:val="Bold"/>
        </w:rPr>
        <w:t>Jarosław Duda</w:t>
      </w:r>
      <w:r>
        <w:t xml:space="preserve"> (</w:t>
      </w:r>
      <w:r>
        <w:t>PPE</w:t>
      </w:r>
      <w:r>
        <w:t xml:space="preserve">), </w:t>
      </w:r>
      <w:r>
        <w:rPr>
          <w:rStyle w:val="Bold"/>
        </w:rPr>
        <w:t>Daniela Rondinelli</w:t>
      </w:r>
      <w:r>
        <w:t xml:space="preserve"> (</w:t>
      </w:r>
      <w:r>
        <w:t>NI</w:t>
      </w:r>
      <w:r>
        <w:t xml:space="preserve">), </w:t>
      </w:r>
      <w:r>
        <w:rPr>
          <w:rStyle w:val="Bold"/>
        </w:rPr>
        <w:t>Dan-Ştefan Motreanu</w:t>
      </w:r>
      <w:r>
        <w:t xml:space="preserve"> (</w:t>
      </w:r>
      <w:r>
        <w:t>PPE</w:t>
      </w:r>
      <w:r>
        <w:t xml:space="preserve">), </w:t>
      </w:r>
      <w:r>
        <w:rPr>
          <w:rStyle w:val="Bold"/>
        </w:rPr>
        <w:t>Olivier Chastel</w:t>
      </w:r>
      <w:r>
        <w:t xml:space="preserve"> (</w:t>
      </w:r>
      <w:r>
        <w:t>Renew</w:t>
      </w:r>
      <w:r>
        <w:t xml:space="preserve">), </w:t>
      </w:r>
      <w:r>
        <w:rPr>
          <w:rStyle w:val="Bold"/>
        </w:rPr>
        <w:t>Dino Giarrusso</w:t>
      </w:r>
      <w:r>
        <w:t xml:space="preserve"> (</w:t>
      </w:r>
      <w:r>
        <w:t>NI</w:t>
      </w:r>
      <w:r>
        <w:t xml:space="preserve">), </w:t>
      </w:r>
      <w:r>
        <w:rPr>
          <w:rStyle w:val="Bold"/>
        </w:rPr>
        <w:t>Fabio Massimo Castaldo</w:t>
      </w:r>
      <w:r>
        <w:t xml:space="preserve"> (</w:t>
      </w:r>
      <w:r>
        <w:t>NI</w:t>
      </w:r>
      <w:r>
        <w:t xml:space="preserve">), </w:t>
      </w:r>
      <w:r>
        <w:rPr>
          <w:rStyle w:val="Bold"/>
        </w:rPr>
        <w:t>Laura Ferrara</w:t>
      </w:r>
      <w:r>
        <w:t xml:space="preserve"> (</w:t>
      </w:r>
      <w:r>
        <w:t>NI</w:t>
      </w:r>
      <w:r>
        <w:t xml:space="preserve">), </w:t>
      </w:r>
      <w:r>
        <w:rPr>
          <w:rStyle w:val="Bold"/>
        </w:rPr>
        <w:t>Fulvio Martusciello</w:t>
      </w:r>
      <w:r>
        <w:t xml:space="preserve"> (</w:t>
      </w:r>
      <w:r>
        <w:t>PPE</w:t>
      </w:r>
      <w:r>
        <w:t>)</w:t>
      </w:r>
    </w:p>
    <w:p>
      <w:pPr>
        <w:pStyle w:val="Subject"/>
      </w:pPr>
      <w:r>
        <w:t>Subiect</w:t>
      </w:r>
      <w:r>
        <w:t>:</w:t>
      </w:r>
      <w:r>
        <w:tab/>
      </w:r>
      <w:r>
        <w:t>Discontinuitatea în ceea ce privește îngrijirea și serviciile pentru adulții cu tulburare din spectrul autismului</w:t>
      </w:r>
    </w:p>
    <w:p>
      <w:pPr>
        <w:pStyle w:val="Body"/>
      </w:pPr>
      <w:r>
        <w:t>Autismul la vârsta adultă este subestimat din punct de vedere social și sanitar.</w:t>
      </w:r>
    </w:p>
    <w:p>
      <w:pPr>
        <w:pStyle w:val="Body"/>
      </w:pPr>
      <w:r>
        <w:t>În Europa, mai multe țări au raportat discontinuități în ceea ce privește îngrijirea în timpul tranziției de la copilărie la vârsta adultă, precum și lipsa unor parcursuri personalizate care să însoțească în mod eficace această tranziție.</w:t>
      </w:r>
    </w:p>
    <w:p>
      <w:pPr>
        <w:pStyle w:val="Body"/>
      </w:pPr>
      <w:r>
        <w:t>Ghidul practic pentru autism al Societății europene de psihiatrie pentru copii și adolescenți și un studiu realizat de „Autism Spectrum Disorders in the European Union” subliniază necesitatea de a reduce deficiențele în special în această etapă.</w:t>
      </w:r>
    </w:p>
    <w:p>
      <w:pPr>
        <w:pStyle w:val="Body"/>
      </w:pPr>
      <w:r>
        <w:t>În plus, lipsa unor soluții locative specifice, cu parcursuri personalizate de ocupare a forței de muncă, obligă adulții cu tulburări din spectrul autismului să accepte căi nespecifice, ceea ce duce adesea la regresul acestora.</w:t>
      </w:r>
    </w:p>
    <w:p>
      <w:pPr>
        <w:pStyle w:val="itemList"/>
      </w:pPr>
      <w:r>
        <w:t>1.</w:t>
      </w:r>
      <w:r>
        <w:tab/>
      </w:r>
      <w:r>
        <w:t>Având în vedere angajamentele prezentate în noua strategie a UE pentru persoanele cu dizabilități și în Convenția ONU privind drepturile persoanelor cu dizabilități (articolul 25), intenționează Comisia să adopte măsuri concrete pentru a încuraja statele membre să garanteze o asistență specifică și de înaltă calitate persoanelor care suferă de tulburări din spectrul autismului pe tot parcursul vieții acestora?</w:t>
      </w:r>
    </w:p>
    <w:p>
      <w:pPr>
        <w:pStyle w:val="itemList"/>
      </w:pPr>
      <w:r>
        <w:t>2.</w:t>
      </w:r>
      <w:r>
        <w:tab/>
      </w:r>
      <w:r>
        <w:t>Ce inițiative intenționează Comisia să introducă pentru a verifica procedurile de asistență medicală ale statelor membre, oferind în același timp orientări comune pentru evaluarea caracteristicilor funcționale individuale?</w:t>
      </w:r>
    </w:p>
    <w:p>
      <w:pPr>
        <w:pStyle w:val="itemList"/>
      </w:pPr>
      <w:r>
        <w:t>3.</w:t>
      </w:r>
      <w:r>
        <w:tab/>
      </w:r>
      <w:r>
        <w:t>Ce inițiative specifice intenționează Comisia să întreprindă pentru a se asigura că sistemele naționale de sănătate stabilesc parcursuri de îngrijire multiprofesională în cadrul serviciilor psihiatrice sau oferă parcursuri de asistență medicală dedicate autismului pe tot parcursul vieții, pentru a evita rețetele farmacologice grele care sunt furnizate sistematic în prezent?</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PE696.733v01-00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PE696.733v01-00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PE696.733v01-00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Întrebarea cu solicitare de răspuns scris</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20210802-114752-015890-553031</vt:lpwstr>
  </property>
</Properties>
</file>