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Interrogazione con richiesta di risposta scritta E-004276/2021</w:t>
      </w:r>
    </w:p>
    <w:p>
      <w:pPr>
        <w:pStyle w:val="Arial10"/>
      </w:pPr>
      <w:r>
        <w:rPr>
          <w:rStyle w:val="Bold"/>
        </w:rPr>
        <w:t>alla Commissione</w:t>
      </w:r>
    </w:p>
    <w:p>
      <w:pPr>
        <w:pStyle w:val="Arial10"/>
      </w:pPr>
      <w:r>
        <w:t>Articolo 138 del regolamento</w:t>
      </w:r>
    </w:p>
    <w:p>
      <w:pPr>
        <w:pStyle w:val="Arial10After10"/>
      </w:pPr>
      <w:r>
        <w:rPr>
          <w:rStyle w:val="Bold"/>
        </w:rPr>
        <w:t>Anja Hazekamp</w:t>
      </w:r>
      <w:r>
        <w:t xml:space="preserve"> (</w:t>
      </w:r>
      <w:r>
        <w:t>The Left</w:t>
      </w:r>
      <w:r>
        <w:t xml:space="preserve">), </w:t>
      </w:r>
      <w:r>
        <w:rPr>
          <w:rStyle w:val="Bold"/>
        </w:rPr>
        <w:t>Caroline Roose</w:t>
      </w:r>
      <w:r>
        <w:t xml:space="preserve"> (</w:t>
      </w:r>
      <w:r>
        <w:t>Verts/ALE</w:t>
      </w:r>
      <w:r>
        <w:t xml:space="preserve">), </w:t>
      </w:r>
      <w:r>
        <w:rPr>
          <w:rStyle w:val="Bold"/>
        </w:rPr>
        <w:t>Rosa D'Amato</w:t>
      </w:r>
      <w:r>
        <w:t xml:space="preserve"> (</w:t>
      </w:r>
      <w:r>
        <w:t>Verts/ALE</w:t>
      </w:r>
      <w:r>
        <w:t xml:space="preserve">), </w:t>
      </w:r>
      <w:r>
        <w:rPr>
          <w:rStyle w:val="Bold"/>
        </w:rPr>
        <w:t>Manuela Ripa</w:t>
      </w:r>
      <w:r>
        <w:t xml:space="preserve"> (</w:t>
      </w:r>
      <w:r>
        <w:t>Verts/ALE</w:t>
      </w:r>
      <w:r>
        <w:t xml:space="preserve">), </w:t>
      </w:r>
      <w:r>
        <w:rPr>
          <w:rStyle w:val="Bold"/>
        </w:rPr>
        <w:t>Tilly Metz</w:t>
      </w:r>
      <w:r>
        <w:t xml:space="preserve"> (</w:t>
      </w:r>
      <w:r>
        <w:t>Verts/ALE</w:t>
      </w:r>
      <w:r>
        <w:t xml:space="preserve">), </w:t>
      </w:r>
      <w:r>
        <w:rPr>
          <w:rStyle w:val="Bold"/>
        </w:rPr>
        <w:t>Karen Melchior</w:t>
      </w:r>
      <w:r>
        <w:t xml:space="preserve"> (</w:t>
      </w:r>
      <w:r>
        <w:t>Renew</w:t>
      </w:r>
      <w:r>
        <w:t xml:space="preserve">), </w:t>
      </w:r>
      <w:r>
        <w:rPr>
          <w:rStyle w:val="Bold"/>
        </w:rPr>
        <w:t>Francisco Guerreiro</w:t>
      </w:r>
      <w:r>
        <w:t xml:space="preserve"> (</w:t>
      </w:r>
      <w:r>
        <w:t>Verts/ALE</w:t>
      </w:r>
      <w:r>
        <w:t xml:space="preserve">), </w:t>
      </w:r>
      <w:r>
        <w:rPr>
          <w:rStyle w:val="Bold"/>
        </w:rPr>
        <w:t>Claude Gruffat</w:t>
      </w:r>
      <w:r>
        <w:t xml:space="preserve"> (</w:t>
      </w:r>
      <w:r>
        <w:t>Verts/ALE</w:t>
      </w:r>
      <w:r>
        <w:t xml:space="preserve">), </w:t>
      </w:r>
      <w:r>
        <w:rPr>
          <w:rStyle w:val="Bold"/>
        </w:rPr>
        <w:t>Pascal Durand</w:t>
      </w:r>
      <w:r>
        <w:t xml:space="preserve"> (</w:t>
      </w:r>
      <w:r>
        <w:t>Renew</w:t>
      </w:r>
      <w:r>
        <w:t xml:space="preserve">), </w:t>
      </w:r>
      <w:r>
        <w:rPr>
          <w:rStyle w:val="Bold"/>
        </w:rPr>
        <w:t>Grace O'Sullivan</w:t>
      </w:r>
      <w:r>
        <w:t xml:space="preserve"> (</w:t>
      </w:r>
      <w:r>
        <w:t>Verts/ALE</w:t>
      </w:r>
      <w:r>
        <w:t xml:space="preserve">), </w:t>
      </w:r>
      <w:r>
        <w:rPr>
          <w:rStyle w:val="Bold"/>
        </w:rPr>
        <w:t>Aurore Lalucq</w:t>
      </w:r>
      <w:r>
        <w:t xml:space="preserve"> (</w:t>
      </w:r>
      <w:r>
        <w:t>S&amp;D</w:t>
      </w:r>
      <w:r>
        <w:t xml:space="preserve">), </w:t>
      </w:r>
      <w:r>
        <w:rPr>
          <w:rStyle w:val="Bold"/>
        </w:rPr>
        <w:t>Predrag Fred Matić</w:t>
      </w:r>
      <w:r>
        <w:t xml:space="preserve"> (</w:t>
      </w:r>
      <w:r>
        <w:t>S&amp;D</w:t>
      </w:r>
      <w:r>
        <w:t xml:space="preserve">), </w:t>
      </w:r>
      <w:r>
        <w:rPr>
          <w:rStyle w:val="Bold"/>
        </w:rPr>
        <w:t>Róża Thun und Hohenstein</w:t>
      </w:r>
      <w:r>
        <w:t xml:space="preserve"> (</w:t>
      </w:r>
      <w:r>
        <w:t>PPE</w:t>
      </w:r>
      <w:r>
        <w:t xml:space="preserve">), </w:t>
      </w:r>
      <w:r>
        <w:rPr>
          <w:rStyle w:val="Bold"/>
        </w:rPr>
        <w:t>Michal Wiezik</w:t>
      </w:r>
      <w:r>
        <w:t xml:space="preserve"> (</w:t>
      </w:r>
      <w:r>
        <w:t>PPE</w:t>
      </w:r>
      <w:r>
        <w:t xml:space="preserve">), </w:t>
      </w:r>
      <w:r>
        <w:rPr>
          <w:rStyle w:val="Bold"/>
        </w:rPr>
        <w:t>Ernest Urtasun</w:t>
      </w:r>
      <w:r>
        <w:t xml:space="preserve"> (</w:t>
      </w:r>
      <w:r>
        <w:t>Verts/ALE</w:t>
      </w:r>
      <w:r>
        <w:t xml:space="preserve">), </w:t>
      </w:r>
      <w:r>
        <w:rPr>
          <w:rStyle w:val="Bold"/>
        </w:rPr>
        <w:t>Malin Björk</w:t>
      </w:r>
      <w:r>
        <w:t xml:space="preserve"> (</w:t>
      </w:r>
      <w:r>
        <w:t>The Left</w:t>
      </w:r>
      <w:r>
        <w:t xml:space="preserve">), </w:t>
      </w:r>
      <w:r>
        <w:rPr>
          <w:rStyle w:val="Bold"/>
        </w:rPr>
        <w:t>Manuel Bompard</w:t>
      </w:r>
      <w:r>
        <w:t xml:space="preserve"> (</w:t>
      </w:r>
      <w:r>
        <w:t>The Left</w:t>
      </w:r>
      <w:r>
        <w:t xml:space="preserve">), </w:t>
      </w:r>
      <w:r>
        <w:rPr>
          <w:rStyle w:val="Bold"/>
        </w:rPr>
        <w:t>Yannick Jadot</w:t>
      </w:r>
      <w:r>
        <w:t xml:space="preserve"> (</w:t>
      </w:r>
      <w:r>
        <w:t>Verts/ALE</w:t>
      </w:r>
      <w:r>
        <w:t>)</w:t>
      </w:r>
    </w:p>
    <w:p>
      <w:pPr>
        <w:pStyle w:val="Subject"/>
      </w:pPr>
      <w:r>
        <w:t>Oggetto</w:t>
      </w:r>
      <w:r>
        <w:t>:</w:t>
      </w:r>
      <w:r>
        <w:tab/>
      </w:r>
      <w:r>
        <w:t>Dati dell'UE sui rigetti in mare di squali mako nel quadro della Commissione internazionale per la conservazione dei tonnidi dell'Atlantico (ICCAT)</w:t>
      </w:r>
    </w:p>
    <w:p>
      <w:pPr>
        <w:pStyle w:val="Body"/>
      </w:pPr>
      <w:r>
        <w:t>In una riunione intersessione dell'ICCAT tenutasi all'inizio di luglio sono state discusse misure di conservazione aggiuntive per gli squalo mako. Nel corso della riunione, l'UE si è opposta al divieto totale di conservazione a bordo della specie, nonostante tale divieto sia stato raccomandato dagli scienziati dell'ICCAT.</w:t>
      </w:r>
    </w:p>
    <w:p>
      <w:pPr>
        <w:pStyle w:val="Body"/>
      </w:pPr>
      <w:r>
        <w:t>Dai dati sulle catture di squali mako presentati dall'UE emerge che le catture spagnole e portoghesi stanno aumentando ben oltre i limiti sostenibili e non includono i dati obbligatori sui rigetti di esemplari vivi o morti. Il calcolo della mortalità totale degli squali mako dell'Atlantico settentrionale quale conseguenza delle attività di pesca dell'Unione pone tuttora grandi difficoltà.</w:t>
      </w:r>
    </w:p>
    <w:p>
      <w:pPr>
        <w:pStyle w:val="Body"/>
      </w:pPr>
      <w:r>
        <w:t>Inoltre, nel 2020 le catture hanno superato di gran lunga il limite di 350 tonnellate fissato nella valutazione sull'assenza di effetti negativi condotta dall'UE nel quadro della Convenzione sul commercio internazionale delle specie di flora e di fauna selvatiche minacciate di estinzione (CITES).</w:t>
      </w:r>
    </w:p>
    <w:p>
      <w:pPr>
        <w:pStyle w:val="itemList"/>
      </w:pPr>
      <w:r>
        <w:t>1.</w:t>
      </w:r>
      <w:r>
        <w:tab/>
      </w:r>
      <w:r>
        <w:t>Qual è stata la mortalità totale stimata degli squali mako nell'Atlantico settentrionale nel 2020 e qual è la quota dell'UE? Tale cifra include i rigetti ed è coerente con la valutazione dell'UE sull'assenza di effetti negativi a norma della CITES?</w:t>
      </w:r>
    </w:p>
    <w:p>
      <w:pPr>
        <w:pStyle w:val="itemList"/>
      </w:pPr>
      <w:r>
        <w:t>2.</w:t>
      </w:r>
      <w:r>
        <w:tab/>
      </w:r>
      <w:r>
        <w:t>Può la Commissione specificare tutte le misure volte a ridurre le catture accessorie che l'UE intende sostenere?</w:t>
      </w:r>
    </w:p>
    <w:p>
      <w:pPr>
        <w:pStyle w:val="itemList"/>
      </w:pPr>
      <w:r>
        <w:t>3.</w:t>
      </w:r>
      <w:r>
        <w:tab/>
      </w:r>
      <w:r>
        <w:t>Intende la Commissione sostenere un limite di mortalità complessivo (compresi gli sbarchi, i rigetti di esemplari morti e la mortalità dopo il rilascio in mare)? Quali misure saranno adottate per evitare le catture supplementari e la mortalità oltre tale limite?</w:t>
      </w:r>
    </w:p>
    <w:p>
      <w:pPr>
        <w:pStyle w:val="Supporter"/>
      </w:pPr>
      <w:r>
        <w:rPr>
          <w:rStyle w:val="Bold"/>
        </w:rPr>
        <w:t>Sostenitore</w:t>
      </w:r>
      <w:r>
        <w:rPr>
          <w:rStyle w:val="FootnoteReference"/>
        </w:rPr>
        <w:footnoteReference w:id="0"/>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PE698.081v01-00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PE698.081v01-00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PE698.081v01-00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t>La presente interrogazione è sostenuta da un deputato diverso dagli autori: Eleonora Evi (Verts/ALE)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Interrogazione con richiesta di risposta scritta</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20210927-122437-256102-269399</vt:lpwstr>
  </property>
</Properties>
</file>