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19.3 -->
  <w:body>
    <w:p>
      <w:pPr>
        <w:pStyle w:val="Arial10"/>
      </w:pPr>
      <w:r w:rsidR="00A77B3E">
        <w:rPr>
          <w:rStyle w:val="Bold"/>
        </w:rPr>
        <w:t>Pytanie wymagające odpowiedzi na piśmie E-004662/2021</w:t>
      </w:r>
    </w:p>
    <w:p>
      <w:pPr>
        <w:pStyle w:val="Arial10"/>
      </w:pPr>
      <w:r>
        <w:rPr>
          <w:rStyle w:val="Bold"/>
        </w:rPr>
        <w:t>do Komisji</w:t>
      </w:r>
    </w:p>
    <w:p>
      <w:pPr>
        <w:pStyle w:val="Arial10"/>
      </w:pPr>
      <w:r>
        <w:t>Art. 138 Regulaminu</w:t>
      </w:r>
    </w:p>
    <w:p>
      <w:pPr>
        <w:pStyle w:val="Arial10After10"/>
      </w:pPr>
      <w:r>
        <w:rPr>
          <w:rStyle w:val="Bold"/>
        </w:rPr>
        <w:t>Anna-Michelle Asimakopoulou</w:t>
      </w:r>
      <w:r>
        <w:t xml:space="preserve"> (</w:t>
      </w:r>
      <w:r>
        <w:t>PPE</w:t>
      </w:r>
      <w:r>
        <w:t xml:space="preserve">), </w:t>
      </w:r>
      <w:r>
        <w:rPr>
          <w:rStyle w:val="Bold"/>
        </w:rPr>
        <w:t>Angel Dzhambazki</w:t>
      </w:r>
      <w:r>
        <w:t xml:space="preserve"> (</w:t>
      </w:r>
      <w:r>
        <w:t>ECR</w:t>
      </w:r>
      <w:r>
        <w:t xml:space="preserve">), </w:t>
      </w:r>
      <w:r>
        <w:rPr>
          <w:rStyle w:val="Bold"/>
        </w:rPr>
        <w:t>Mircea-Gheorghe Hava</w:t>
      </w:r>
      <w:r>
        <w:t xml:space="preserve"> (</w:t>
      </w:r>
      <w:r>
        <w:t>PPE</w:t>
      </w:r>
      <w:r>
        <w:t xml:space="preserve">), </w:t>
      </w:r>
      <w:r>
        <w:rPr>
          <w:rStyle w:val="Bold"/>
        </w:rPr>
        <w:t>Bart Groothuis</w:t>
      </w:r>
      <w:r>
        <w:t xml:space="preserve"> (</w:t>
      </w:r>
      <w:r>
        <w:t>Renew</w:t>
      </w:r>
      <w:r>
        <w:t xml:space="preserve">), </w:t>
      </w:r>
      <w:r>
        <w:rPr>
          <w:rStyle w:val="Bold"/>
        </w:rPr>
        <w:t>Gianna Gancia</w:t>
      </w:r>
      <w:r>
        <w:t xml:space="preserve"> (</w:t>
      </w:r>
      <w:r>
        <w:t>ID</w:t>
      </w:r>
      <w:r>
        <w:t xml:space="preserve">), </w:t>
      </w:r>
      <w:r>
        <w:rPr>
          <w:rStyle w:val="Bold"/>
        </w:rPr>
        <w:t>Iuliu Winkler</w:t>
      </w:r>
      <w:r>
        <w:t xml:space="preserve"> (</w:t>
      </w:r>
      <w:r>
        <w:t>PPE</w:t>
      </w:r>
      <w:r>
        <w:t xml:space="preserve">), </w:t>
      </w:r>
      <w:r>
        <w:rPr>
          <w:rStyle w:val="Bold"/>
        </w:rPr>
        <w:t>Ivan Štefanec</w:t>
      </w:r>
      <w:r>
        <w:t xml:space="preserve"> (</w:t>
      </w:r>
      <w:r>
        <w:t>PPE</w:t>
      </w:r>
      <w:r>
        <w:t xml:space="preserve">), </w:t>
      </w:r>
      <w:r>
        <w:rPr>
          <w:rStyle w:val="Bold"/>
        </w:rPr>
        <w:t>Susana Solís Pérez</w:t>
      </w:r>
      <w:r>
        <w:t xml:space="preserve"> (</w:t>
      </w:r>
      <w:r>
        <w:t>Renew</w:t>
      </w:r>
      <w:r>
        <w:t xml:space="preserve">), </w:t>
      </w:r>
      <w:r>
        <w:rPr>
          <w:rStyle w:val="Bold"/>
        </w:rPr>
        <w:t>Theodoros Zagorakis</w:t>
      </w:r>
      <w:r>
        <w:t xml:space="preserve"> (</w:t>
      </w:r>
      <w:r>
        <w:t>PPE</w:t>
      </w:r>
      <w:r>
        <w:t xml:space="preserve">), </w:t>
      </w:r>
      <w:r>
        <w:rPr>
          <w:rStyle w:val="Bold"/>
        </w:rPr>
        <w:t>Francisco Guerreiro</w:t>
      </w:r>
      <w:r>
        <w:t xml:space="preserve"> (</w:t>
      </w:r>
      <w:r>
        <w:t>Verts/ALE</w:t>
      </w:r>
      <w:r>
        <w:t xml:space="preserve">), </w:t>
      </w:r>
      <w:r>
        <w:rPr>
          <w:rStyle w:val="Bold"/>
        </w:rPr>
        <w:t>Radan Kanev</w:t>
      </w:r>
      <w:r>
        <w:t xml:space="preserve"> (</w:t>
      </w:r>
      <w:r>
        <w:t>PPE</w:t>
      </w:r>
      <w:r>
        <w:t xml:space="preserve">), </w:t>
      </w:r>
      <w:r>
        <w:rPr>
          <w:rStyle w:val="Bold"/>
        </w:rPr>
        <w:t>Francisco José Millán Mon</w:t>
      </w:r>
      <w:r>
        <w:t xml:space="preserve"> (</w:t>
      </w:r>
      <w:r>
        <w:t>PPE</w:t>
      </w:r>
      <w:r>
        <w:t xml:space="preserve">), </w:t>
      </w:r>
      <w:r>
        <w:rPr>
          <w:rStyle w:val="Bold"/>
        </w:rPr>
        <w:t>Pietro Fiocchi</w:t>
      </w:r>
      <w:r>
        <w:t xml:space="preserve"> (</w:t>
      </w:r>
      <w:r>
        <w:t>ECR</w:t>
      </w:r>
      <w:r>
        <w:t xml:space="preserve">), </w:t>
      </w:r>
      <w:r>
        <w:rPr>
          <w:rStyle w:val="Bold"/>
        </w:rPr>
        <w:t>Markus Pieper</w:t>
      </w:r>
      <w:r>
        <w:t xml:space="preserve"> (</w:t>
      </w:r>
      <w:r>
        <w:t>PPE</w:t>
      </w:r>
      <w:r>
        <w:t xml:space="preserve">), </w:t>
      </w:r>
      <w:r>
        <w:rPr>
          <w:rStyle w:val="Bold"/>
        </w:rPr>
        <w:t>Christophe Hansen</w:t>
      </w:r>
      <w:r>
        <w:t xml:space="preserve"> (</w:t>
      </w:r>
      <w:r>
        <w:t>PPE</w:t>
      </w:r>
      <w:r>
        <w:t xml:space="preserve">), </w:t>
      </w:r>
      <w:r>
        <w:rPr>
          <w:rStyle w:val="Bold"/>
        </w:rPr>
        <w:t>Manolis Kefalogiannis</w:t>
      </w:r>
      <w:r>
        <w:t xml:space="preserve"> (</w:t>
      </w:r>
      <w:r>
        <w:t>PPE</w:t>
      </w:r>
      <w:r>
        <w:t xml:space="preserve">), </w:t>
      </w:r>
      <w:r>
        <w:rPr>
          <w:rStyle w:val="Bold"/>
        </w:rPr>
        <w:t>Barry Andrews</w:t>
      </w:r>
      <w:r>
        <w:t xml:space="preserve"> (</w:t>
      </w:r>
      <w:r>
        <w:t>Renew</w:t>
      </w:r>
      <w:r>
        <w:t xml:space="preserve">), </w:t>
      </w:r>
      <w:r>
        <w:rPr>
          <w:rStyle w:val="Bold"/>
        </w:rPr>
        <w:t>Gabriel Mato</w:t>
      </w:r>
      <w:r>
        <w:t xml:space="preserve"> (</w:t>
      </w:r>
      <w:r>
        <w:t>PPE</w:t>
      </w:r>
      <w:r>
        <w:t xml:space="preserve">), </w:t>
      </w:r>
      <w:r>
        <w:rPr>
          <w:rStyle w:val="Bold"/>
        </w:rPr>
        <w:t>Massimiliano Salini</w:t>
      </w:r>
      <w:r>
        <w:t xml:space="preserve"> (</w:t>
      </w:r>
      <w:r>
        <w:t>PPE</w:t>
      </w:r>
      <w:r>
        <w:t xml:space="preserve">), </w:t>
      </w:r>
      <w:r>
        <w:rPr>
          <w:rStyle w:val="Bold"/>
        </w:rPr>
        <w:t>Danuta Maria Hübner</w:t>
      </w:r>
      <w:r>
        <w:t xml:space="preserve"> (</w:t>
      </w:r>
      <w:r>
        <w:t>PPE</w:t>
      </w:r>
      <w:r>
        <w:t xml:space="preserve">), </w:t>
      </w:r>
      <w:r>
        <w:rPr>
          <w:rStyle w:val="Bold"/>
        </w:rPr>
        <w:t>Miroslav Číž</w:t>
      </w:r>
      <w:r>
        <w:t xml:space="preserve"> (</w:t>
      </w:r>
      <w:r>
        <w:t>S&amp;D</w:t>
      </w:r>
      <w:r>
        <w:t xml:space="preserve">), </w:t>
      </w:r>
      <w:r>
        <w:rPr>
          <w:rStyle w:val="Bold"/>
        </w:rPr>
        <w:t>Maria Spyraki</w:t>
      </w:r>
      <w:r>
        <w:t xml:space="preserve"> (</w:t>
      </w:r>
      <w:r>
        <w:t>PPE</w:t>
      </w:r>
      <w:r>
        <w:t xml:space="preserve">), </w:t>
      </w:r>
      <w:r>
        <w:rPr>
          <w:rStyle w:val="Bold"/>
        </w:rPr>
        <w:t>Elissavet Vozemberg-Vrionidi</w:t>
      </w:r>
      <w:r>
        <w:t xml:space="preserve"> (</w:t>
      </w:r>
      <w:r>
        <w:t>PPE</w:t>
      </w:r>
      <w:r>
        <w:t xml:space="preserve">), </w:t>
      </w:r>
      <w:r>
        <w:rPr>
          <w:rStyle w:val="Bold"/>
        </w:rPr>
        <w:t>Vangelis Meimarakis</w:t>
      </w:r>
      <w:r>
        <w:t xml:space="preserve"> (</w:t>
      </w:r>
      <w:r>
        <w:t>PPE</w:t>
      </w:r>
      <w:r>
        <w:t xml:space="preserve">), </w:t>
      </w:r>
      <w:r>
        <w:rPr>
          <w:rStyle w:val="Bold"/>
        </w:rPr>
        <w:t>Georgios Kyrtsos</w:t>
      </w:r>
      <w:r>
        <w:t xml:space="preserve"> (</w:t>
      </w:r>
      <w:r>
        <w:t>PPE</w:t>
      </w:r>
      <w:r>
        <w:t>)</w:t>
      </w:r>
    </w:p>
    <w:p>
      <w:pPr>
        <w:pStyle w:val="Subject"/>
      </w:pPr>
      <w:r>
        <w:t>Przedmiot</w:t>
      </w:r>
      <w:r>
        <w:t>:</w:t>
      </w:r>
      <w:r>
        <w:tab/>
      </w:r>
      <w:r>
        <w:t>Globalny wzrost cen i niedobór magnezu</w:t>
      </w:r>
    </w:p>
    <w:p>
      <w:pPr>
        <w:pStyle w:val="Body"/>
      </w:pPr>
      <w:r>
        <w:t>Z Chin pochodzi 87 % magnezu produkowanego na świecie i 95 % magnezu importowanego przez UE. Magnez znalazł się w sporządzonym przez Komisję czwartym wykazie surowców krytycznych dla UE.</w:t>
      </w:r>
    </w:p>
    <w:p>
      <w:pPr>
        <w:pStyle w:val="Body"/>
      </w:pPr>
      <w:r>
        <w:t>Dążąc do ograniczenia krajowego zużycia energii, Chiny wstrzymały produkcję magnezu w 25 fabrykach, podczas gdy w innych produkcję ograniczono. Spowodowało to gwałtowny wzrost cen magnezu, przy czym przewiduje się, że niedobory w zaopatrzeniu dotkną przemysł UE z początkiem grudnia 2021 r.</w:t>
      </w:r>
    </w:p>
    <w:p>
      <w:pPr>
        <w:pStyle w:val="Body"/>
      </w:pPr>
      <w:r>
        <w:t>Magnez jest istotnym surowcem dla przemysłu aluminiowego, motoryzacyjnego i stalowego. Niedobory produkcji wywołają efekt domina w całych łańcuchach wartości.</w:t>
      </w:r>
    </w:p>
    <w:p>
      <w:pPr>
        <w:pStyle w:val="itemList"/>
      </w:pPr>
      <w:r>
        <w:t>1.</w:t>
      </w:r>
      <w:r>
        <w:tab/>
      </w:r>
      <w:r>
        <w:t>Jakie działania podejmie Komisja, aby zaradzić tym krytycznym brakom w zaopatrzeniu? Czy Komisja podejmie nadzwyczajne negocjacje w tej sprawie z odpowiednimi organami w Chinach?</w:t>
      </w:r>
    </w:p>
    <w:p>
      <w:pPr>
        <w:pStyle w:val="itemList"/>
      </w:pPr>
      <w:r>
        <w:t>2.</w:t>
      </w:r>
      <w:r>
        <w:tab/>
      </w:r>
      <w:r>
        <w:t>W jaki sposób Komisja zamierza zapewnić bezpieczne i odporne dostawy magnezu dla przemysłu UE?</w:t>
      </w:r>
    </w:p>
    <w:sectPr>
      <w:footerReference w:type="even" r:id="rId4"/>
      <w:footerReference w:type="default" r:id="rId5"/>
      <w:footerReference w:type="first" r:id="rId6"/>
      <w:pgSz w:w="11906" w:h="16838"/>
      <w:pgMar w:top="1440" w:right="1440" w:bottom="2000" w:left="1440" w:header="568" w:footer="568" w:gutter="0"/>
      <w:cols w:num="1"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PE699.441v01-00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PE699.441v01-00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PE699.441v01-00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tabs>
        <w:tab w:val="left" w:pos="425"/>
        <w:tab w:val="left" w:pos="851"/>
        <w:tab w:val="left" w:pos="1276"/>
      </w:tabs>
      <w:spacing w:after="240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4B331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FootnoteReference">
    <w:name w:val="footnote reference"/>
    <w:rsid w:val="00782D12"/>
    <w:rPr>
      <w:rFonts w:ascii="Arial" w:hAnsi="Arial" w:cs="Arial"/>
      <w:b w:val="0"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sz w:val="18"/>
      <w:u w:val="none"/>
      <w:effect w:val="none"/>
      <w:vertAlign w:val="superscript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816F6"/>
    <w:pPr>
      <w:tabs>
        <w:tab w:val="clear" w:pos="425"/>
        <w:tab w:val="clear" w:pos="851"/>
        <w:tab w:val="clear" w:pos="1276"/>
        <w:tab w:val="center" w:pos="4536"/>
        <w:tab w:val="right" w:pos="9072"/>
      </w:tabs>
      <w:spacing w:before="240"/>
    </w:pPr>
    <w:rPr>
      <w:snapToGrid w:val="0"/>
      <w:sz w:val="22"/>
    </w:rPr>
  </w:style>
  <w:style w:type="character" w:styleId="PageNumber">
    <w:name w:val="page number"/>
    <w:basedOn w:val="DefaultParagraphFont"/>
  </w:style>
  <w:style w:type="paragraph" w:styleId="FootnoteText">
    <w:name w:val="footnote text"/>
    <w:semiHidden/>
    <w:rsid w:val="003D124A"/>
    <w:pPr>
      <w:tabs>
        <w:tab w:val="left" w:pos="284"/>
      </w:tabs>
      <w:ind w:left="284" w:hanging="284"/>
    </w:pPr>
    <w:rPr>
      <w:rFonts w:ascii="Arial" w:hAnsi="Arial"/>
      <w:sz w:val="18"/>
    </w:rPr>
  </w:style>
  <w:style w:type="paragraph" w:styleId="BalloonText">
    <w:name w:val="Balloon Text"/>
    <w:basedOn w:val="Normal"/>
    <w:semiHidden/>
    <w:rsid w:val="00CD005F"/>
    <w:rPr>
      <w:rFonts w:ascii="Tahoma" w:hAnsi="Tahoma" w:cs="Tahoma"/>
      <w:sz w:val="16"/>
      <w:szCs w:val="16"/>
    </w:rPr>
  </w:style>
  <w:style w:type="character" w:customStyle="1" w:styleId="Bold">
    <w:name w:val="Bold"/>
    <w:basedOn w:val="DefaultParagraphFont"/>
    <w:uiPriority w:val="1"/>
    <w:qFormat/>
    <w:rsid w:val="00344A81"/>
    <w:rPr>
      <w:rFonts w:ascii="Arial" w:hAnsi="Arial"/>
      <w:b/>
      <w:sz w:val="20"/>
    </w:rPr>
  </w:style>
  <w:style w:type="character" w:customStyle="1" w:styleId="Heading1Char">
    <w:name w:val="Heading 1 Char"/>
    <w:basedOn w:val="DefaultParagraphFont"/>
    <w:link w:val="Heading1"/>
    <w:rsid w:val="004B3311"/>
    <w:rPr>
      <w:rFonts w:asciiTheme="majorHAnsi" w:eastAsiaTheme="majorEastAsia" w:hAnsiTheme="majorHAnsi" w:cstheme="majorBidi"/>
      <w:b/>
      <w:bCs/>
      <w:snapToGrid w:val="0"/>
      <w:color w:val="365F91" w:themeColor="accent1" w:themeShade="BF"/>
      <w:sz w:val="28"/>
      <w:szCs w:val="28"/>
      <w:lang w:eastAsia="en-US"/>
    </w:rPr>
  </w:style>
  <w:style w:type="paragraph" w:customStyle="1" w:styleId="Arial10">
    <w:name w:val="Arial10"/>
    <w:qFormat/>
    <w:rsid w:val="003A12E2"/>
    <w:rPr>
      <w:rFonts w:ascii="Arial" w:hAnsi="Arial"/>
    </w:rPr>
  </w:style>
  <w:style w:type="character" w:styleId="Hyperlink">
    <w:name w:val="Hyperlink"/>
    <w:basedOn w:val="DefaultParagraphFont"/>
    <w:uiPriority w:val="99"/>
    <w:unhideWhenUsed/>
    <w:rsid w:val="008E6344"/>
    <w:rPr>
      <w:color w:val="0000FF"/>
      <w:u w:val="single"/>
    </w:rPr>
  </w:style>
  <w:style w:type="paragraph" w:customStyle="1" w:styleId="Arial10After10">
    <w:name w:val="Arial10After10"/>
    <w:basedOn w:val="Arial10"/>
    <w:qFormat/>
    <w:rsid w:val="008E6344"/>
    <w:pPr>
      <w:spacing w:after="200"/>
    </w:pPr>
  </w:style>
  <w:style w:type="paragraph" w:customStyle="1" w:styleId="Subject">
    <w:name w:val="Subject"/>
    <w:basedOn w:val="Arial10"/>
    <w:qFormat/>
    <w:rsid w:val="00E275FC"/>
    <w:pPr>
      <w:tabs>
        <w:tab w:val="left" w:pos="1134"/>
      </w:tabs>
      <w:spacing w:after="240"/>
      <w:ind w:left="1134" w:hanging="1134"/>
    </w:pPr>
  </w:style>
  <w:style w:type="paragraph" w:customStyle="1" w:styleId="Body">
    <w:name w:val="Body"/>
    <w:qFormat/>
    <w:rsid w:val="006822FA"/>
    <w:pPr>
      <w:tabs>
        <w:tab w:val="left" w:pos="425"/>
        <w:tab w:val="left" w:pos="851"/>
        <w:tab w:val="left" w:pos="1276"/>
      </w:tabs>
      <w:spacing w:after="240"/>
    </w:pPr>
    <w:rPr>
      <w:rFonts w:ascii="Arial" w:hAnsi="Arial"/>
    </w:rPr>
  </w:style>
  <w:style w:type="paragraph" w:customStyle="1" w:styleId="LeftHanging">
    <w:name w:val="LeftHanging"/>
    <w:qFormat/>
    <w:rsid w:val="00BD0F1F"/>
    <w:pPr>
      <w:spacing w:before="240"/>
      <w:ind w:left="425" w:hanging="425"/>
    </w:pPr>
    <w:rPr>
      <w:rFonts w:ascii="Arial" w:hAnsi="Arial"/>
    </w:rPr>
  </w:style>
  <w:style w:type="paragraph" w:customStyle="1" w:styleId="LeftHangingAfter">
    <w:name w:val="LeftHangingAfter"/>
    <w:basedOn w:val="LeftHanging"/>
    <w:qFormat/>
    <w:rsid w:val="00AB7C55"/>
    <w:pPr>
      <w:spacing w:before="0"/>
    </w:pPr>
  </w:style>
  <w:style w:type="paragraph" w:customStyle="1" w:styleId="itemList">
    <w:name w:val="itemList"/>
    <w:qFormat/>
    <w:rsid w:val="005024D7"/>
    <w:pPr>
      <w:tabs>
        <w:tab w:val="left" w:pos="425"/>
        <w:tab w:val="left" w:pos="851"/>
        <w:tab w:val="left" w:pos="1276"/>
      </w:tabs>
      <w:spacing w:after="240"/>
      <w:ind w:left="425" w:hanging="425"/>
    </w:pPr>
    <w:rPr>
      <w:rFonts w:ascii="Arial" w:hAnsi="Arial"/>
    </w:rPr>
  </w:style>
  <w:style w:type="paragraph" w:customStyle="1" w:styleId="Supporter">
    <w:name w:val="Supporter"/>
    <w:basedOn w:val="Body"/>
    <w:qFormat/>
    <w:rsid w:val="00CD50AF"/>
    <w:pPr>
      <w:spacing w:before="840"/>
    </w:pPr>
  </w:style>
  <w:style w:type="paragraph" w:customStyle="1" w:styleId="Footer2">
    <w:name w:val="Footer2"/>
    <w:basedOn w:val="Normal"/>
    <w:link w:val="Footer2Char"/>
    <w:qFormat/>
    <w:rsid w:val="000B4A67"/>
    <w:pPr>
      <w:tabs>
        <w:tab w:val="clear" w:pos="425"/>
        <w:tab w:val="clear" w:pos="851"/>
        <w:tab w:val="clear" w:pos="1276"/>
        <w:tab w:val="center" w:pos="4536"/>
        <w:tab w:val="right" w:pos="9923"/>
      </w:tabs>
      <w:ind w:left="-851" w:right="-851"/>
    </w:pPr>
    <w:rPr>
      <w:sz w:val="48"/>
    </w:rPr>
  </w:style>
  <w:style w:type="character" w:customStyle="1" w:styleId="Footer2Lang">
    <w:name w:val="Footer2Lang"/>
    <w:uiPriority w:val="1"/>
    <w:qFormat/>
    <w:rsid w:val="000B4A67"/>
    <w:rPr>
      <w:rFonts w:ascii="Arial" w:hAnsi="Arial"/>
      <w:b/>
      <w:sz w:val="48"/>
    </w:rPr>
  </w:style>
  <w:style w:type="character" w:customStyle="1" w:styleId="Footer2Char">
    <w:name w:val="Footer2 Char"/>
    <w:basedOn w:val="DefaultParagraphFont"/>
    <w:link w:val="Footer2"/>
    <w:rsid w:val="000B4A67"/>
    <w:rPr>
      <w:rFonts w:ascii="Arial" w:hAnsi="Arial"/>
      <w:sz w:val="48"/>
    </w:rPr>
  </w:style>
  <w:style w:type="character" w:customStyle="1" w:styleId="Footer2Middle">
    <w:name w:val="Footer2Middle"/>
    <w:uiPriority w:val="1"/>
    <w:qFormat/>
    <w:rsid w:val="000B4A67"/>
    <w:rPr>
      <w:rFonts w:ascii="Arial" w:hAnsi="Arial"/>
      <w:i/>
      <w:color w:val="BFBFBF" w:themeColor="background1" w:themeShade="BF"/>
      <w:sz w:val="22"/>
    </w:rPr>
  </w:style>
  <w:style w:type="paragraph" w:customStyle="1" w:styleId="SessionDocument">
    <w:name w:val="SessionDocument"/>
    <w:qFormat/>
    <w:rsid w:val="00F63011"/>
    <w:pPr>
      <w:jc w:val="center"/>
    </w:pPr>
    <w:rPr>
      <w:rFonts w:ascii="Arial" w:hAnsi="Arial"/>
      <w:i/>
      <w:sz w:val="22"/>
    </w:rPr>
  </w:style>
  <w:style w:type="paragraph" w:customStyle="1" w:styleId="LineBottom">
    <w:name w:val="LineBottom"/>
    <w:qFormat/>
    <w:rsid w:val="00C01FA6"/>
    <w:pPr>
      <w:pBdr>
        <w:bottom w:val="single" w:sz="4" w:space="1" w:color="auto"/>
      </w:pBdr>
      <w:spacing w:after="1080"/>
      <w:jc w:val="center"/>
    </w:pPr>
    <w:rPr>
      <w:rFonts w:ascii="Arial" w:hAnsi="Arial"/>
      <w:sz w:val="16"/>
    </w:rPr>
  </w:style>
  <w:style w:type="paragraph" w:customStyle="1" w:styleId="LineTop">
    <w:name w:val="LineTop"/>
    <w:next w:val="SessionDocument"/>
    <w:qFormat/>
    <w:rsid w:val="00884286"/>
    <w:pPr>
      <w:pBdr>
        <w:top w:val="single" w:sz="4" w:space="1" w:color="auto"/>
      </w:pBdr>
    </w:pPr>
    <w:rPr>
      <w:rFonts w:ascii="Arial" w:hAnsi="Arial"/>
      <w:sz w:val="16"/>
    </w:rPr>
  </w:style>
  <w:style w:type="paragraph" w:customStyle="1" w:styleId="EPLogo">
    <w:name w:val="EPLogo"/>
    <w:basedOn w:val="Normal"/>
    <w:qFormat/>
    <w:rsid w:val="00A05278"/>
    <w:pPr>
      <w:jc w:val="right"/>
    </w:pPr>
  </w:style>
  <w:style w:type="paragraph" w:customStyle="1" w:styleId="EPName">
    <w:name w:val="EPName"/>
    <w:basedOn w:val="Normal"/>
    <w:qFormat/>
    <w:rsid w:val="00475435"/>
    <w:pPr>
      <w:spacing w:before="80" w:after="80"/>
    </w:pPr>
    <w:rPr>
      <w:rFonts w:ascii="Arial Narrow" w:hAnsi="Arial Narrow"/>
      <w:b/>
      <w:color w:val="000000" w:themeColor="text1"/>
      <w:sz w:val="32"/>
    </w:rPr>
  </w:style>
  <w:style w:type="paragraph" w:customStyle="1" w:styleId="EPTerm">
    <w:name w:val="EPTerm"/>
    <w:basedOn w:val="Normal"/>
    <w:next w:val="Normal"/>
    <w:qFormat/>
    <w:rsid w:val="00475435"/>
    <w:pPr>
      <w:spacing w:after="80"/>
    </w:pPr>
  </w:style>
  <w:style w:type="paragraph" w:customStyle="1" w:styleId="Arial10Date">
    <w:name w:val="Arial10Date"/>
    <w:basedOn w:val="Arial10"/>
    <w:qFormat/>
    <w:rsid w:val="00E258AE"/>
    <w:pPr>
      <w:tabs>
        <w:tab w:val="left" w:pos="0"/>
        <w:tab w:val="right" w:pos="9072"/>
      </w:tabs>
      <w:spacing w:after="400"/>
    </w:pPr>
  </w:style>
  <w:style w:type="character" w:customStyle="1" w:styleId="HideTWBExt">
    <w:name w:val="HideTWBExt"/>
    <w:uiPriority w:val="1"/>
    <w:qFormat/>
    <w:rsid w:val="00DC6131"/>
    <w:rPr>
      <w:rFonts w:ascii="Arial" w:hAnsi="Arial"/>
      <w:vanish/>
      <w:color w:val="1F497D" w:themeColor="text2"/>
      <w:sz w:val="20"/>
    </w:rPr>
  </w:style>
  <w:style w:type="character" w:customStyle="1" w:styleId="Italic">
    <w:name w:val="Italic"/>
    <w:uiPriority w:val="1"/>
    <w:qFormat/>
    <w:rsid w:val="00644428"/>
    <w:rPr>
      <w:i/>
    </w:rPr>
  </w:style>
  <w:style w:type="character" w:customStyle="1" w:styleId="Sub">
    <w:name w:val="Sub"/>
    <w:uiPriority w:val="1"/>
    <w:qFormat/>
    <w:rsid w:val="00776240"/>
    <w:rPr>
      <w:vertAlign w:val="subscript"/>
    </w:rPr>
  </w:style>
  <w:style w:type="character" w:customStyle="1" w:styleId="Sup">
    <w:name w:val="Sup"/>
    <w:uiPriority w:val="1"/>
    <w:qFormat/>
    <w:rsid w:val="00776240"/>
    <w:rPr>
      <w:vertAlign w:val="superscript"/>
    </w:rPr>
  </w:style>
  <w:style w:type="character" w:customStyle="1" w:styleId="ItalicSub">
    <w:name w:val="ItalicSub"/>
    <w:uiPriority w:val="1"/>
    <w:qFormat/>
    <w:rsid w:val="00776240"/>
    <w:rPr>
      <w:i/>
      <w:vertAlign w:val="subscript"/>
    </w:rPr>
  </w:style>
  <w:style w:type="character" w:customStyle="1" w:styleId="ItalicSup">
    <w:name w:val="ItalicSup"/>
    <w:uiPriority w:val="1"/>
    <w:qFormat/>
    <w:rsid w:val="00776240"/>
    <w:rPr>
      <w:i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Pytanie wymagające odpowiedzi na piśmie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XMLUID">
    <vt:lpwstr>20211025-193752-000659-070352</vt:lpwstr>
  </property>
</Properties>
</file>