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Klausimas, į kurį atsakoma raštu, E-004920/2021</w:t>
      </w:r>
    </w:p>
    <w:p>
      <w:pPr>
        <w:pStyle w:val="Arial10"/>
      </w:pPr>
      <w:r>
        <w:rPr>
          <w:rStyle w:val="Bold"/>
        </w:rPr>
        <w:t xml:space="preserve">Komisijai </w:t>
      </w:r>
    </w:p>
    <w:p>
      <w:pPr>
        <w:pStyle w:val="Arial10"/>
      </w:pPr>
      <w:r>
        <w:t>Darbo tvarkos taisyklių 138 straipsnis</w:t>
      </w:r>
    </w:p>
    <w:p>
      <w:pPr>
        <w:pStyle w:val="Arial10After10"/>
      </w:pPr>
      <w:r>
        <w:rPr>
          <w:rStyle w:val="Bold"/>
        </w:rPr>
        <w:t>Milan Brglez</w:t>
      </w:r>
      <w:r>
        <w:t xml:space="preserve"> (</w:t>
      </w:r>
      <w:r>
        <w:t>S&amp;D</w:t>
      </w:r>
      <w:r>
        <w:t xml:space="preserve">), </w:t>
      </w:r>
      <w:r>
        <w:rPr>
          <w:rStyle w:val="Bold"/>
        </w:rPr>
        <w:t>Jarosław Duda</w:t>
      </w:r>
      <w:r>
        <w:t xml:space="preserve"> (</w:t>
      </w:r>
      <w:r>
        <w:t>PPE</w:t>
      </w:r>
      <w:r>
        <w:t xml:space="preserve">), </w:t>
      </w:r>
      <w:r>
        <w:rPr>
          <w:rStyle w:val="Bold"/>
        </w:rPr>
        <w:t>Klemen Grošelj</w:t>
      </w:r>
      <w:r>
        <w:t xml:space="preserve"> (</w:t>
      </w:r>
      <w:r>
        <w:t>Renew</w:t>
      </w:r>
      <w:r>
        <w:t xml:space="preserve">), </w:t>
      </w:r>
      <w:r>
        <w:rPr>
          <w:rStyle w:val="Bold"/>
        </w:rPr>
        <w:t>Predrag Fred Matić</w:t>
      </w:r>
      <w:r>
        <w:t xml:space="preserve"> (</w:t>
      </w:r>
      <w:r>
        <w:t>S&amp;D</w:t>
      </w:r>
      <w:r>
        <w:t xml:space="preserve">), </w:t>
      </w:r>
      <w:r>
        <w:rPr>
          <w:rStyle w:val="Bold"/>
        </w:rPr>
        <w:t>Sara Cerdas</w:t>
      </w:r>
      <w:r>
        <w:t xml:space="preserve"> (</w:t>
      </w:r>
      <w:r>
        <w:t>S&amp;D</w:t>
      </w:r>
      <w:r>
        <w:t xml:space="preserve">), </w:t>
      </w:r>
      <w:r>
        <w:rPr>
          <w:rStyle w:val="Bold"/>
        </w:rPr>
        <w:t>Irena Joveva</w:t>
      </w:r>
      <w:r>
        <w:t xml:space="preserve"> (</w:t>
      </w:r>
      <w:r>
        <w:t>Renew</w:t>
      </w:r>
      <w:r>
        <w:t xml:space="preserve">), </w:t>
      </w:r>
      <w:r>
        <w:rPr>
          <w:rStyle w:val="Bold"/>
        </w:rPr>
        <w:t>Marc Angel</w:t>
      </w:r>
      <w:r>
        <w:t xml:space="preserve"> (</w:t>
      </w:r>
      <w:r>
        <w:t>S&amp;D</w:t>
      </w:r>
      <w:r>
        <w:t xml:space="preserve">), </w:t>
      </w:r>
      <w:r>
        <w:rPr>
          <w:rStyle w:val="Bold"/>
        </w:rPr>
        <w:t>Atidzhe Alieva-Veli</w:t>
      </w:r>
      <w:r>
        <w:t xml:space="preserve"> (</w:t>
      </w:r>
      <w:r>
        <w:t>Renew</w:t>
      </w:r>
      <w:r>
        <w:t xml:space="preserve">), </w:t>
      </w:r>
      <w:r>
        <w:rPr>
          <w:rStyle w:val="Bold"/>
        </w:rPr>
        <w:t>Magdalena Adamowicz</w:t>
      </w:r>
      <w:r>
        <w:t xml:space="preserve"> (</w:t>
      </w:r>
      <w:r>
        <w:t>PPE</w:t>
      </w:r>
      <w:r>
        <w:t xml:space="preserve">), </w:t>
      </w:r>
      <w:r>
        <w:rPr>
          <w:rStyle w:val="Bold"/>
        </w:rPr>
        <w:t>Pernando Barrena Arza</w:t>
      </w:r>
      <w:r>
        <w:t xml:space="preserve"> (</w:t>
      </w:r>
      <w:r>
        <w:t>The Left</w:t>
      </w:r>
      <w:r>
        <w:t xml:space="preserve">), </w:t>
      </w:r>
      <w:r>
        <w:rPr>
          <w:rStyle w:val="Bold"/>
        </w:rPr>
        <w:t>Carles Puigdemont i Casamajó</w:t>
      </w:r>
      <w:r>
        <w:t xml:space="preserve"> (</w:t>
      </w:r>
      <w:r>
        <w:t>NI</w:t>
      </w:r>
      <w:r>
        <w:t xml:space="preserve">), </w:t>
      </w:r>
      <w:r>
        <w:rPr>
          <w:rStyle w:val="Bold"/>
        </w:rPr>
        <w:t>Clara Ponsatí Obiols</w:t>
      </w:r>
      <w:r>
        <w:t xml:space="preserve"> (</w:t>
      </w:r>
      <w:r>
        <w:t>NI</w:t>
      </w:r>
      <w:r>
        <w:t xml:space="preserve">), </w:t>
      </w:r>
      <w:r>
        <w:rPr>
          <w:rStyle w:val="Bold"/>
        </w:rPr>
        <w:t>Antoni Comín i Oliveres</w:t>
      </w:r>
      <w:r>
        <w:t xml:space="preserve"> (</w:t>
      </w:r>
      <w:r>
        <w:t>NI</w:t>
      </w:r>
      <w:r>
        <w:t xml:space="preserve">), </w:t>
      </w:r>
      <w:r>
        <w:rPr>
          <w:rStyle w:val="Bold"/>
        </w:rPr>
        <w:t>Elżbieta Kruk</w:t>
      </w:r>
      <w:r>
        <w:t xml:space="preserve"> (</w:t>
      </w:r>
      <w:r>
        <w:t>ECR</w:t>
      </w:r>
      <w:r>
        <w:t xml:space="preserve">), </w:t>
      </w:r>
      <w:r>
        <w:rPr>
          <w:rStyle w:val="Bold"/>
        </w:rPr>
        <w:t>Rovana Plumb</w:t>
      </w:r>
      <w:r>
        <w:t xml:space="preserve"> (</w:t>
      </w:r>
      <w:r>
        <w:t>S&amp;D</w:t>
      </w:r>
      <w:r>
        <w:t xml:space="preserve">), </w:t>
      </w:r>
      <w:r>
        <w:rPr>
          <w:rStyle w:val="Bold"/>
        </w:rPr>
        <w:t>Olivier Chastel</w:t>
      </w:r>
      <w:r>
        <w:t xml:space="preserve"> (</w:t>
      </w:r>
      <w:r>
        <w:t>Renew</w:t>
      </w:r>
      <w:r>
        <w:t xml:space="preserve">), </w:t>
      </w:r>
      <w:r>
        <w:rPr>
          <w:rStyle w:val="Bold"/>
        </w:rPr>
        <w:t>Robert Hajšel</w:t>
      </w:r>
      <w:r>
        <w:t xml:space="preserve"> (</w:t>
      </w:r>
      <w:r>
        <w:t>S&amp;D</w:t>
      </w:r>
      <w:r>
        <w:t xml:space="preserve">), </w:t>
      </w:r>
      <w:r>
        <w:rPr>
          <w:rStyle w:val="Bold"/>
        </w:rPr>
        <w:t>Alex Agius Saliba</w:t>
      </w:r>
      <w:r>
        <w:t xml:space="preserve"> (</w:t>
      </w:r>
      <w:r>
        <w:t>S&amp;D</w:t>
      </w:r>
      <w:r>
        <w:t xml:space="preserve">), </w:t>
      </w:r>
      <w:r>
        <w:rPr>
          <w:rStyle w:val="Bold"/>
        </w:rPr>
        <w:t>Angel Dzhambazki</w:t>
      </w:r>
      <w:r>
        <w:t xml:space="preserve"> (</w:t>
      </w:r>
      <w:r>
        <w:t>ECR</w:t>
      </w:r>
      <w:r>
        <w:t xml:space="preserve">), </w:t>
      </w:r>
      <w:r>
        <w:rPr>
          <w:rStyle w:val="Bold"/>
        </w:rPr>
        <w:t>Andrey Slabakov</w:t>
      </w:r>
      <w:r>
        <w:t xml:space="preserve"> (</w:t>
      </w:r>
      <w:r>
        <w:t>ECR</w:t>
      </w:r>
      <w:r>
        <w:t xml:space="preserve">), </w:t>
      </w:r>
      <w:r>
        <w:rPr>
          <w:rStyle w:val="Bold"/>
        </w:rPr>
        <w:t>Estrella Durá Ferrandis</w:t>
      </w:r>
      <w:r>
        <w:t xml:space="preserve"> (</w:t>
      </w:r>
      <w:r>
        <w:t>S&amp;D</w:t>
      </w:r>
      <w:r>
        <w:t xml:space="preserve">), </w:t>
      </w:r>
      <w:r>
        <w:rPr>
          <w:rStyle w:val="Bold"/>
        </w:rPr>
        <w:t>Radka Maxová</w:t>
      </w:r>
      <w:r>
        <w:t xml:space="preserve"> (</w:t>
      </w:r>
      <w:r>
        <w:t>S&amp;D</w:t>
      </w:r>
      <w:r>
        <w:t xml:space="preserve">), </w:t>
      </w:r>
      <w:r>
        <w:rPr>
          <w:rStyle w:val="Bold"/>
        </w:rPr>
        <w:t>Miriam Lexmann</w:t>
      </w:r>
      <w:r>
        <w:t xml:space="preserve"> (</w:t>
      </w:r>
      <w:r>
        <w:t>PPE</w:t>
      </w:r>
      <w:r>
        <w:t xml:space="preserve">), </w:t>
      </w:r>
      <w:r>
        <w:rPr>
          <w:rStyle w:val="Bold"/>
        </w:rPr>
        <w:t>Ivan Štefanec</w:t>
      </w:r>
      <w:r>
        <w:t xml:space="preserve"> (</w:t>
      </w:r>
      <w:r>
        <w:t>PPE</w:t>
      </w:r>
      <w:r>
        <w:t xml:space="preserve">), </w:t>
      </w:r>
      <w:r>
        <w:rPr>
          <w:rStyle w:val="Bold"/>
        </w:rPr>
        <w:t>Bronis Ropė</w:t>
      </w:r>
      <w:r>
        <w:t xml:space="preserve"> (</w:t>
      </w:r>
      <w:r>
        <w:t>Verts/ALE</w:t>
      </w:r>
      <w:r>
        <w:t xml:space="preserve">), </w:t>
      </w:r>
      <w:r>
        <w:rPr>
          <w:rStyle w:val="Bold"/>
        </w:rPr>
        <w:t>Manuel Pizarro</w:t>
      </w:r>
      <w:r>
        <w:t xml:space="preserve"> (</w:t>
      </w:r>
      <w:r>
        <w:t>S&amp;D</w:t>
      </w:r>
      <w:r>
        <w:t xml:space="preserve">), </w:t>
      </w:r>
      <w:r>
        <w:rPr>
          <w:rStyle w:val="Bold"/>
        </w:rPr>
        <w:t>Maria da Graça Carvalho</w:t>
      </w:r>
      <w:r>
        <w:t xml:space="preserve"> (</w:t>
      </w:r>
      <w:r>
        <w:t>PPE</w:t>
      </w:r>
      <w:r>
        <w:t xml:space="preserve">), </w:t>
      </w:r>
      <w:r>
        <w:rPr>
          <w:rStyle w:val="Bold"/>
        </w:rPr>
        <w:t>Aurore Lalucq</w:t>
      </w:r>
      <w:r>
        <w:t xml:space="preserve"> (</w:t>
      </w:r>
      <w:r>
        <w:t>S&amp;D</w:t>
      </w:r>
      <w:r>
        <w:t xml:space="preserve">), </w:t>
      </w:r>
      <w:r>
        <w:rPr>
          <w:rStyle w:val="Bold"/>
        </w:rPr>
        <w:t>Anna Júlia Donáth</w:t>
      </w:r>
      <w:r>
        <w:t xml:space="preserve"> (</w:t>
      </w:r>
      <w:r>
        <w:t>Renew</w:t>
      </w:r>
      <w:r>
        <w:t xml:space="preserve">), </w:t>
      </w:r>
      <w:r>
        <w:rPr>
          <w:rStyle w:val="Bold"/>
        </w:rPr>
        <w:t>Sylwia Spurek</w:t>
      </w:r>
      <w:r>
        <w:t xml:space="preserve"> (</w:t>
      </w:r>
      <w:r>
        <w:t>Verts/ALE</w:t>
      </w:r>
      <w:r>
        <w:t xml:space="preserve">), </w:t>
      </w:r>
      <w:r>
        <w:rPr>
          <w:rStyle w:val="Bold"/>
        </w:rPr>
        <w:t>Monika Beňová</w:t>
      </w:r>
      <w:r>
        <w:t xml:space="preserve"> (</w:t>
      </w:r>
      <w:r>
        <w:t>S&amp;D</w:t>
      </w:r>
      <w:r>
        <w:t xml:space="preserve">), </w:t>
      </w:r>
      <w:r>
        <w:rPr>
          <w:rStyle w:val="Bold"/>
        </w:rPr>
        <w:t>Cláudia Monteiro de Aguiar</w:t>
      </w:r>
      <w:r>
        <w:t xml:space="preserve"> (</w:t>
      </w:r>
      <w:r>
        <w:t>PPE</w:t>
      </w:r>
      <w:r>
        <w:t>)</w:t>
      </w:r>
    </w:p>
    <w:p>
      <w:pPr>
        <w:pStyle w:val="Subject"/>
      </w:pPr>
      <w:r>
        <w:t>Tema</w:t>
      </w:r>
      <w:r>
        <w:t>:</w:t>
      </w:r>
      <w:r>
        <w:tab/>
      </w:r>
      <w:r>
        <w:t>Europos priežiūros strategija</w:t>
      </w:r>
    </w:p>
    <w:p>
      <w:pPr>
        <w:pStyle w:val="Body"/>
      </w:pPr>
      <w:r>
        <w:t>Savo pranešime apie Sąjungos padėtį, Komisijos pirmininkė paskelbė Europos priežiūros strategiją, kuria siekiama: „kad kiekvienas vyras ir moteris galėtų gauti kuo geresnes priežiūros paslaugas ir kuo tinkamiau derinti profesinį ir asmeninį gyvenimą“. Komisijos ir Socialinės apsaugos komiteto ataskaitoje dėl ilgalaikės priežiūros</w:t>
      </w:r>
      <w:r>
        <w:rPr>
          <w:rStyle w:val="FootnoteReference"/>
        </w:rPr>
        <w:footnoteReference w:id="0"/>
      </w:r>
      <w:r>
        <w:t xml:space="preserve"> nurodoma, kad tik kas trečias asmuo, vyresnis nei 65 metai ir turintis specialiųjų poreikių, turi galimybę būti prižiūrimas namuose, o daugiau nei 25 procentai europiečių, daugiausia moterų, neformaliai slaugo savo vaikus, neįgaliuosius ar vyresnius šeimos narius</w:t>
      </w:r>
      <w:r>
        <w:rPr>
          <w:rStyle w:val="FootnoteReference"/>
        </w:rPr>
        <w:footnoteReference w:id="1"/>
      </w:r>
      <w:r>
        <w:t>. Dėl COVID-19 pandemijos pernelyg didelis kliovimasis neformaliaisiais slaugytojais dar labiau išaugo. Žmonės, kurie turi būti prižiūrimi ir kurie daugelį metų negauna įperkamos kokybiškos priežiūros, jaučia socialinę atskirtį. Slaugytojai dirba sekinančiomis sąlygomis, yra negerbiami, jų darbas nelaikomas vertingu, dėl to jie ir žmonės, kuriuos jie slaugo, gali atsidurti situacijose, kai kyla rizika jų fizinei ir emocinei būklei.</w:t>
      </w:r>
    </w:p>
    <w:p>
      <w:pPr>
        <w:pStyle w:val="itemList"/>
      </w:pPr>
      <w:r>
        <w:t>1.</w:t>
      </w:r>
      <w:r>
        <w:tab/>
      </w:r>
      <w:r>
        <w:t>Ar Europos priežiūros strategijoje pagrindinis dėmesys bus sutelkiamas ne tik į tai, kad ilgalaikė priežiūra yra iššūkis ir finansinė našta, o ir į tai, jog ji gali suteikti galimybę vyresnio amžiaus žmonėms būti mūsų visuomenės dalimi ir dalyvauti jos veikloje?</w:t>
      </w:r>
    </w:p>
    <w:p>
      <w:pPr>
        <w:pStyle w:val="itemList"/>
      </w:pPr>
      <w:r>
        <w:t>2.</w:t>
      </w:r>
      <w:r>
        <w:tab/>
      </w:r>
      <w:r>
        <w:t>Ar Europos priežiūros strategijoje bus vadovaujamasi teisėmis grindžiamu požiūriu, grindžiamu Europos Sąjungos pagrindinių teisių chartija, Jungtinių Tautų neįgaliųjų teisių konvencija ir ES strategija dėl negalios?</w:t>
      </w:r>
    </w:p>
    <w:p>
      <w:pPr>
        <w:pStyle w:val="itemList"/>
      </w:pPr>
      <w:r>
        <w:t>3.</w:t>
      </w:r>
      <w:r>
        <w:tab/>
      </w:r>
      <w:r>
        <w:t>Kaip, taikant šią strategija, bus pagerintos formaliųjų ir neformaliųjų slaugytojų darbo sąlygos ir labiau pripažįstama jų vertė?</w:t>
      </w:r>
    </w:p>
    <w:sectPr>
      <w:footerReference w:type="even" r:id="rId5"/>
      <w:footerReference w:type="default" r:id="rId6"/>
      <w:footerReference w:type="first" r:id="rId7"/>
      <w:pgSz w:w="11906" w:h="16838"/>
      <w:pgMar w:top="1440" w:right="1440" w:bottom="2000" w:left="1440" w:header="568" w:footer="568"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PE699.932v01-00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PE699.932v01-00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PE699.932v01-00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 xml:space="preserve">Ataskaita dėl ilgalaikės priežiūros. Tendencijos, iššūkiai ir galimybės senėjančioje visuomenėje (angl. </w:t>
      </w:r>
      <w:r>
        <w:rPr>
          <w:rStyle w:val="Italic"/>
        </w:rPr>
        <w:t>Long-term care report – Trends, challenges and opportunities in an ageing society</w:t>
      </w:r>
      <w:r>
        <w:t>), 2021 m., https://ec.europa.eu/social/main.jsp?catId=738&amp;langId=en&amp;pubId=8396.</w:t>
      </w:r>
    </w:p>
  </w:footnote>
  <w:footnote w:id="1">
    <w:p>
      <w:pPr>
        <w:pStyle w:val="FootnoteText"/>
      </w:pPr>
      <w:r>
        <w:rPr>
          <w:rStyle w:val="FootnoteReference"/>
        </w:rPr>
        <w:footnoteRef/>
      </w:r>
      <w:r>
        <w:t xml:space="preserve"> </w:t>
      </w:r>
      <w:r>
        <w:tab/>
      </w:r>
      <w:r>
        <w:t>https://www.eurofound.europa.eu/data/care-responsibilities?data=4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Klausimas, į kurį atsakoma raštu,</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20211109-162756-001848-574900</vt:lpwstr>
  </property>
</Properties>
</file>