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Anfrage zur schriftlichen Beantwortung E-001482/2022</w:t>
      </w:r>
    </w:p>
    <w:p>
      <w:pPr>
        <w:pStyle w:val="Arial10"/>
      </w:pPr>
      <w:r>
        <w:rPr>
          <w:rStyle w:val="Bold"/>
        </w:rPr>
        <w:t>an die Kommission</w:t>
      </w:r>
    </w:p>
    <w:p>
      <w:pPr>
        <w:pStyle w:val="Arial10"/>
      </w:pPr>
      <w:r>
        <w:t>Artikel 138 der Geschäftsordnung</w:t>
      </w:r>
    </w:p>
    <w:p>
      <w:pPr>
        <w:pStyle w:val="Arial10After10"/>
      </w:pPr>
      <w:r>
        <w:rPr>
          <w:rStyle w:val="Bold"/>
        </w:rPr>
        <w:t>Grace O'Sullivan</w:t>
      </w:r>
      <w:r>
        <w:t xml:space="preserve"> (</w:t>
      </w:r>
      <w:r>
        <w:t>Verts/ALE</w:t>
      </w:r>
      <w:r>
        <w:t xml:space="preserve">), </w:t>
      </w:r>
      <w:r>
        <w:rPr>
          <w:rStyle w:val="Bold"/>
        </w:rPr>
        <w:t>Petros Kokkalis</w:t>
      </w:r>
      <w:r>
        <w:t xml:space="preserve"> (</w:t>
      </w:r>
      <w:r>
        <w:t>The Left</w:t>
      </w:r>
      <w:r>
        <w:t xml:space="preserve">), </w:t>
      </w:r>
      <w:r>
        <w:rPr>
          <w:rStyle w:val="Bold"/>
        </w:rPr>
        <w:t>Margrete Auken</w:t>
      </w:r>
      <w:r>
        <w:t xml:space="preserve"> (</w:t>
      </w:r>
      <w:r>
        <w:t>Verts/ALE</w:t>
      </w:r>
      <w:r>
        <w:t xml:space="preserve">), </w:t>
      </w:r>
      <w:r>
        <w:rPr>
          <w:rStyle w:val="Bold"/>
        </w:rPr>
        <w:t>Olivier Chastel</w:t>
      </w:r>
      <w:r>
        <w:t xml:space="preserve"> (</w:t>
      </w:r>
      <w:r>
        <w:t>Renew</w:t>
      </w:r>
      <w:r>
        <w:t xml:space="preserve">), </w:t>
      </w:r>
      <w:r>
        <w:rPr>
          <w:rStyle w:val="Bold"/>
        </w:rPr>
        <w:t>Miriam Lexmann</w:t>
      </w:r>
      <w:r>
        <w:t xml:space="preserve"> (</w:t>
      </w:r>
      <w:r>
        <w:t>PPE</w:t>
      </w:r>
      <w:r>
        <w:t xml:space="preserve">), </w:t>
      </w:r>
      <w:r>
        <w:rPr>
          <w:rStyle w:val="Bold"/>
        </w:rPr>
        <w:t>Francisco Guerreiro</w:t>
      </w:r>
      <w:r>
        <w:t xml:space="preserve"> (</w:t>
      </w:r>
      <w:r>
        <w:t>Verts/ALE</w:t>
      </w:r>
      <w:r>
        <w:t xml:space="preserve">), </w:t>
      </w:r>
      <w:r>
        <w:rPr>
          <w:rStyle w:val="Bold"/>
        </w:rPr>
        <w:t>Bronis Ropė</w:t>
      </w:r>
      <w:r>
        <w:t xml:space="preserve"> (</w:t>
      </w:r>
      <w:r>
        <w:t>Verts/ALE</w:t>
      </w:r>
      <w:r>
        <w:t xml:space="preserve">), </w:t>
      </w:r>
      <w:r>
        <w:rPr>
          <w:rStyle w:val="Bold"/>
        </w:rPr>
        <w:t>Nikolaj Villumsen</w:t>
      </w:r>
      <w:r>
        <w:t xml:space="preserve"> (</w:t>
      </w:r>
      <w:r>
        <w:t>The Left</w:t>
      </w:r>
      <w:r>
        <w:t xml:space="preserve">), </w:t>
      </w:r>
      <w:r>
        <w:rPr>
          <w:rStyle w:val="Bold"/>
        </w:rPr>
        <w:t>Aurore Lalucq</w:t>
      </w:r>
      <w:r>
        <w:t xml:space="preserve"> (</w:t>
      </w:r>
      <w:r>
        <w:t>S&amp;D</w:t>
      </w:r>
      <w:r>
        <w:t xml:space="preserve">), </w:t>
      </w:r>
      <w:r>
        <w:rPr>
          <w:rStyle w:val="Bold"/>
        </w:rPr>
        <w:t>Manuel Pizarro</w:t>
      </w:r>
      <w:r>
        <w:t xml:space="preserve"> (</w:t>
      </w:r>
      <w:r>
        <w:t>S&amp;D</w:t>
      </w:r>
      <w:r>
        <w:t xml:space="preserve">), </w:t>
      </w:r>
      <w:r>
        <w:rPr>
          <w:rStyle w:val="Bold"/>
        </w:rPr>
        <w:t>Rosa D'Amato</w:t>
      </w:r>
      <w:r>
        <w:t xml:space="preserve"> (</w:t>
      </w:r>
      <w:r>
        <w:t>Verts/ALE</w:t>
      </w:r>
      <w:r>
        <w:t xml:space="preserve">), </w:t>
      </w:r>
      <w:r>
        <w:rPr>
          <w:rStyle w:val="Bold"/>
        </w:rPr>
        <w:t>Ignazio Corrao</w:t>
      </w:r>
      <w:r>
        <w:t xml:space="preserve"> (</w:t>
      </w:r>
      <w:r>
        <w:t>Verts/ALE</w:t>
      </w:r>
      <w:r>
        <w:t xml:space="preserve">), </w:t>
      </w:r>
      <w:r>
        <w:rPr>
          <w:rStyle w:val="Bold"/>
        </w:rPr>
        <w:t>Caroline Roose</w:t>
      </w:r>
      <w:r>
        <w:t xml:space="preserve"> (</w:t>
      </w:r>
      <w:r>
        <w:t>Verts/ALE</w:t>
      </w:r>
      <w:r>
        <w:t xml:space="preserve">), </w:t>
      </w:r>
      <w:r>
        <w:rPr>
          <w:rStyle w:val="Bold"/>
        </w:rPr>
        <w:t>Viola Von Cramon-Taubadel</w:t>
      </w:r>
      <w:r>
        <w:t xml:space="preserve"> (</w:t>
      </w:r>
      <w:r>
        <w:t>Verts/ALE</w:t>
      </w:r>
      <w:r>
        <w:t xml:space="preserve">), </w:t>
      </w:r>
      <w:r>
        <w:rPr>
          <w:rStyle w:val="Bold"/>
        </w:rPr>
        <w:t>Søren Gade</w:t>
      </w:r>
      <w:r>
        <w:t xml:space="preserve"> (</w:t>
      </w:r>
      <w:r>
        <w:t>Renew</w:t>
      </w:r>
      <w:r>
        <w:t xml:space="preserve">), </w:t>
      </w:r>
      <w:r>
        <w:rPr>
          <w:rStyle w:val="Bold"/>
        </w:rPr>
        <w:t>Chris MacManus</w:t>
      </w:r>
      <w:r>
        <w:t xml:space="preserve"> (</w:t>
      </w:r>
      <w:r>
        <w:t>The Left</w:t>
      </w:r>
      <w:r>
        <w:t xml:space="preserve">), </w:t>
      </w:r>
      <w:r>
        <w:rPr>
          <w:rStyle w:val="Bold"/>
        </w:rPr>
        <w:t>Anna Fotyga</w:t>
      </w:r>
      <w:r>
        <w:t xml:space="preserve"> (</w:t>
      </w:r>
      <w:r>
        <w:t>ECR</w:t>
      </w:r>
      <w:r>
        <w:t xml:space="preserve">), </w:t>
      </w:r>
      <w:r>
        <w:rPr>
          <w:rStyle w:val="Bold"/>
        </w:rPr>
        <w:t>Marie Toussaint</w:t>
      </w:r>
      <w:r>
        <w:t xml:space="preserve"> (</w:t>
      </w:r>
      <w:r>
        <w:t>Verts/ALE</w:t>
      </w:r>
      <w:r>
        <w:t xml:space="preserve">), </w:t>
      </w:r>
      <w:r>
        <w:rPr>
          <w:rStyle w:val="Bold"/>
        </w:rPr>
        <w:t>Michael Bloss</w:t>
      </w:r>
      <w:r>
        <w:t xml:space="preserve"> (</w:t>
      </w:r>
      <w:r>
        <w:t>Verts/ALE</w:t>
      </w:r>
      <w:r>
        <w:t xml:space="preserve">), </w:t>
      </w:r>
      <w:r>
        <w:rPr>
          <w:rStyle w:val="Bold"/>
        </w:rPr>
        <w:t>Fabio Massimo Castaldo</w:t>
      </w:r>
      <w:r>
        <w:t xml:space="preserve"> (</w:t>
      </w:r>
      <w:r>
        <w:t>NI</w:t>
      </w:r>
      <w:r>
        <w:t xml:space="preserve">), </w:t>
      </w:r>
      <w:r>
        <w:rPr>
          <w:rStyle w:val="Bold"/>
        </w:rPr>
        <w:t>Martin Häusling</w:t>
      </w:r>
      <w:r>
        <w:t xml:space="preserve"> (</w:t>
      </w:r>
      <w:r>
        <w:t>Verts/ALE</w:t>
      </w:r>
      <w:r>
        <w:t xml:space="preserve">), </w:t>
      </w:r>
      <w:r>
        <w:rPr>
          <w:rStyle w:val="Bold"/>
        </w:rPr>
        <w:t>François-Xavier Bellamy</w:t>
      </w:r>
      <w:r>
        <w:t xml:space="preserve"> (</w:t>
      </w:r>
      <w:r>
        <w:t>PPE</w:t>
      </w:r>
      <w:r>
        <w:t xml:space="preserve">), </w:t>
      </w:r>
      <w:r>
        <w:rPr>
          <w:rStyle w:val="Bold"/>
        </w:rPr>
        <w:t>Pär Holmgren</w:t>
      </w:r>
      <w:r>
        <w:t xml:space="preserve"> (</w:t>
      </w:r>
      <w:r>
        <w:t>Verts/ALE</w:t>
      </w:r>
      <w:r>
        <w:t>)</w:t>
      </w:r>
    </w:p>
    <w:p>
      <w:pPr>
        <w:pStyle w:val="Subject"/>
      </w:pPr>
      <w:r>
        <w:t>Betrifft</w:t>
      </w:r>
      <w:r>
        <w:t>:</w:t>
      </w:r>
      <w:r>
        <w:tab/>
      </w:r>
      <w:r>
        <w:t>EU-Maßnahmen gegen die chinesische Hochseeflotte, die an Menschenrechtsverletzungen sowie illegaler und Grundschleppnetzfischerei beteiligt ist</w:t>
      </w:r>
    </w:p>
    <w:p>
      <w:pPr>
        <w:pStyle w:val="Body"/>
      </w:pPr>
      <w:r>
        <w:t>Eine kürzlich von der Umweltschutzorganisation „Environmental Justice Foundation“ durchgeführte Untersuchung ergab 554 Fälle illegaler, ungemeldeter und unregulierter Fischerei (IUU-Fischerei), an denen die chinesische Hochseefischereiflotte beteiligt war.</w:t>
      </w:r>
    </w:p>
    <w:p>
      <w:pPr>
        <w:pStyle w:val="Body"/>
      </w:pPr>
      <w:r>
        <w:t>Fast jeder zehnte Verstoß betraf Grundschleppnetzfischer. Die Grundschleppnetzfischerei der chinesischen Hochseeflotte ist besonders vor der Küste Westafrikas zu beobachten, wo schätzungsweise 2,35 Mio. Tonnen Fisch pro Jahr gefangen werden, was der Hälfte der gesamten Fangmenge der chinesischen Hochseeflotte entspricht.</w:t>
      </w:r>
    </w:p>
    <w:p>
      <w:pPr>
        <w:pStyle w:val="Body"/>
      </w:pPr>
      <w:r>
        <w:t>Aus dem Bericht geht hervor, dass die IUU-Fischerei der chinesischen Flotte von Grundschleppnetztrawlern mit Menschenrechtsverletzungen und der Schädigung der Umwelt einhergeht. So haben alle befragten Besatzungsmitglieder, die an Bord dieser Trawler in ghanaischen Hoheitsgewässern arbeiten, angegeben, Zeugen oder Opfer körperlicher Misshandlung gewesen zu sein. In sieben Prozent der Fälle illegaler, ungemeldeter und unregulierter Fischerei, an denen chinesische Fischdampfer beteiligt waren, kam es zu gebietsbezogenen Verstößen, das heißt der Fischerei in verbotenen Gewässern.</w:t>
      </w:r>
    </w:p>
    <w:p>
      <w:pPr>
        <w:pStyle w:val="Body"/>
      </w:pPr>
      <w:r>
        <w:t>Die Kommission wird daher um die Beantwortung der folgenden Fragen gebeten:</w:t>
      </w:r>
    </w:p>
    <w:p>
      <w:pPr>
        <w:pStyle w:val="itemList"/>
      </w:pPr>
      <w:r>
        <w:t>1.</w:t>
      </w:r>
      <w:r>
        <w:tab/>
      </w:r>
      <w:r>
        <w:t>Was tut die Kommission, um dafür zu sorgen, dass Fischereierzeugnisse von Schiffen, die IUU-Fischerei betreiben, insbesondere illegale Fischerei in geschützten Meeresgebieten, und auf denen Menschenrechtsverletzungen begangen werden, nicht auf den EU-Markt gelangen?</w:t>
      </w:r>
    </w:p>
    <w:p>
      <w:pPr>
        <w:pStyle w:val="itemList"/>
      </w:pPr>
      <w:r>
        <w:t>2.</w:t>
      </w:r>
      <w:r>
        <w:tab/>
      </w:r>
      <w:r>
        <w:t>Was tut die Kommission zur Unterstützung von Meeresschutzgebieten, und welche anderen räumlich und zeitlich begrenzten Schutzmaßnahmen werden von ihr außerhalb der EU, insbesondere in Westafrika, ergriffen?</w:t>
      </w:r>
    </w:p>
    <w:p>
      <w:pPr>
        <w:pStyle w:val="itemList"/>
      </w:pPr>
      <w:r>
        <w:t>3.</w:t>
      </w:r>
      <w:r>
        <w:tab/>
      </w:r>
      <w:r>
        <w:t>Was tut die Kommission, um für mehr Transparenz zu sorgen und außerhalb der EU fischende Schiffe zu ermitteln, die an den oben genannten Straftaten, insbesondere Zwangsarbeit und Menschenrechtsverletzungen, beteiligt sind?</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PE694.939v01-00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PE694.939v01-00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PE694.939v01-00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zur schriftlichen Beantwortung</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20220426-175745-141647-942989</vt:lpwstr>
  </property>
</Properties>
</file>