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Anfrage zur schriftlichen Beantwortung E-003437/2022</w:t>
      </w:r>
    </w:p>
    <w:p>
      <w:pPr>
        <w:pStyle w:val="Arial10"/>
      </w:pPr>
      <w:r>
        <w:rPr>
          <w:rStyle w:val="Bold"/>
        </w:rPr>
        <w:t>an den Rat</w:t>
      </w:r>
    </w:p>
    <w:p>
      <w:pPr>
        <w:pStyle w:val="Arial10"/>
      </w:pPr>
      <w:r>
        <w:t>Artikel 138 der Geschäftsordnung</w:t>
      </w:r>
    </w:p>
    <w:p>
      <w:pPr>
        <w:pStyle w:val="Arial10After10"/>
      </w:pPr>
      <w:r>
        <w:rPr>
          <w:rStyle w:val="Bold"/>
        </w:rPr>
        <w:t>Domènec Ruiz Devesa</w:t>
      </w:r>
      <w:r>
        <w:t xml:space="preserve"> (</w:t>
      </w:r>
      <w:r>
        <w:t>S&amp;D</w:t>
      </w:r>
      <w:r>
        <w:t xml:space="preserve">), </w:t>
      </w:r>
      <w:r>
        <w:rPr>
          <w:rStyle w:val="Bold"/>
        </w:rPr>
        <w:t>Massimiliano Smeriglio</w:t>
      </w:r>
      <w:r>
        <w:t xml:space="preserve"> (</w:t>
      </w:r>
      <w:r>
        <w:t>S&amp;D</w:t>
      </w:r>
      <w:r>
        <w:t xml:space="preserve">), </w:t>
      </w:r>
      <w:r>
        <w:rPr>
          <w:rStyle w:val="Bold"/>
        </w:rPr>
        <w:t>Petra Kammerevert</w:t>
      </w:r>
      <w:r>
        <w:t xml:space="preserve"> (</w:t>
      </w:r>
      <w:r>
        <w:t>S&amp;D</w:t>
      </w:r>
      <w:r>
        <w:t xml:space="preserve">), </w:t>
      </w:r>
      <w:r>
        <w:rPr>
          <w:rStyle w:val="Bold"/>
        </w:rPr>
        <w:t>Marcos Ros Sempere</w:t>
      </w:r>
      <w:r>
        <w:t xml:space="preserve"> (</w:t>
      </w:r>
      <w:r>
        <w:t>S&amp;D</w:t>
      </w:r>
      <w:r>
        <w:t xml:space="preserve">), </w:t>
      </w:r>
      <w:r>
        <w:rPr>
          <w:rStyle w:val="Bold"/>
        </w:rPr>
        <w:t>Cyrus Engerer</w:t>
      </w:r>
      <w:r>
        <w:t xml:space="preserve"> (</w:t>
      </w:r>
      <w:r>
        <w:t>S&amp;D</w:t>
      </w:r>
      <w:r>
        <w:t xml:space="preserve">), </w:t>
      </w:r>
      <w:r>
        <w:rPr>
          <w:rStyle w:val="Bold"/>
        </w:rPr>
        <w:t>Hannes Heide</w:t>
      </w:r>
      <w:r>
        <w:t xml:space="preserve"> (</w:t>
      </w:r>
      <w:r>
        <w:t>S&amp;D</w:t>
      </w:r>
      <w:r>
        <w:t xml:space="preserve">), </w:t>
      </w:r>
      <w:r>
        <w:rPr>
          <w:rStyle w:val="Bold"/>
        </w:rPr>
        <w:t>Vilija Blinkevičiūtė</w:t>
      </w:r>
      <w:r>
        <w:t xml:space="preserve"> (</w:t>
      </w:r>
      <w:r>
        <w:t>S&amp;D</w:t>
      </w:r>
      <w:r>
        <w:t xml:space="preserve">), </w:t>
      </w:r>
      <w:r>
        <w:rPr>
          <w:rStyle w:val="Bold"/>
        </w:rPr>
        <w:t>Giuliano Pisapia</w:t>
      </w:r>
      <w:r>
        <w:t xml:space="preserve"> (</w:t>
      </w:r>
      <w:r>
        <w:t>S&amp;D</w:t>
      </w:r>
      <w:r>
        <w:t xml:space="preserve">), </w:t>
      </w:r>
      <w:r>
        <w:rPr>
          <w:rStyle w:val="Bold"/>
        </w:rPr>
        <w:t>Pierre Larrouturou</w:t>
      </w:r>
      <w:r>
        <w:t xml:space="preserve"> (</w:t>
      </w:r>
      <w:r>
        <w:t>S&amp;D</w:t>
      </w:r>
      <w:r>
        <w:t xml:space="preserve">), </w:t>
      </w:r>
      <w:r>
        <w:rPr>
          <w:rStyle w:val="Bold"/>
        </w:rPr>
        <w:t>René Repasi</w:t>
      </w:r>
      <w:r>
        <w:t xml:space="preserve"> (</w:t>
      </w:r>
      <w:r>
        <w:t>S&amp;D</w:t>
      </w:r>
      <w:r>
        <w:t xml:space="preserve">), </w:t>
      </w:r>
      <w:r>
        <w:rPr>
          <w:rStyle w:val="Bold"/>
        </w:rPr>
        <w:t>Margarida Marques</w:t>
      </w:r>
      <w:r>
        <w:t xml:space="preserve"> (</w:t>
      </w:r>
      <w:r>
        <w:t>S&amp;D</w:t>
      </w:r>
      <w:r>
        <w:t xml:space="preserve">), </w:t>
      </w:r>
      <w:r>
        <w:rPr>
          <w:rStyle w:val="Bold"/>
        </w:rPr>
        <w:t>Predrag Fred Matić</w:t>
      </w:r>
      <w:r>
        <w:t xml:space="preserve"> (</w:t>
      </w:r>
      <w:r>
        <w:t>S&amp;D</w:t>
      </w:r>
      <w:r>
        <w:t xml:space="preserve">), </w:t>
      </w:r>
      <w:r>
        <w:rPr>
          <w:rStyle w:val="Bold"/>
        </w:rPr>
        <w:t>Łukasz Kohut</w:t>
      </w:r>
      <w:r>
        <w:t xml:space="preserve"> (</w:t>
      </w:r>
      <w:r>
        <w:t>S&amp;D</w:t>
      </w:r>
      <w:r>
        <w:t xml:space="preserve">), </w:t>
      </w:r>
      <w:r>
        <w:rPr>
          <w:rStyle w:val="Bold"/>
        </w:rPr>
        <w:t>Pietro Bartolo</w:t>
      </w:r>
      <w:r>
        <w:t xml:space="preserve"> (</w:t>
      </w:r>
      <w:r>
        <w:t>S&amp;D</w:t>
      </w:r>
      <w:r>
        <w:t>)</w:t>
      </w:r>
    </w:p>
    <w:p>
      <w:pPr>
        <w:pStyle w:val="Subject"/>
      </w:pPr>
      <w:r>
        <w:t>Betrifft</w:t>
      </w:r>
      <w:r>
        <w:t>:</w:t>
      </w:r>
      <w:r>
        <w:tab/>
      </w:r>
      <w:r>
        <w:t>40. Jahrestag der feierlichen Deklaration zur Europäischen Union</w:t>
      </w:r>
    </w:p>
    <w:p>
      <w:pPr>
        <w:pStyle w:val="Body"/>
      </w:pPr>
      <w:r>
        <w:t>Am 19. Juni 1983 unterzeichneten Staats- und Regierungschefs in Stuttgart die feierliche Deklaration zur Europäischen Union. Geleitet von dem Wunsch, die Europäische Identität zu bekräftigen, verpflichteten sie sich, auf eine gemeinsame Zukunft und eine immer engere Verbindung zwischen den Völkern und Mitgliedstaaten der Europäischen Gemeinschaft hinzuarbeiten. Zu diesem Zweck bestimmten sie Kultur und Bildung zur treibenden Kraft auf dem Weg in eine gemeinsame Zukunft.</w:t>
      </w:r>
    </w:p>
    <w:p>
      <w:pPr>
        <w:pStyle w:val="Body"/>
      </w:pPr>
      <w:r>
        <w:t>Wie in Ziffer 3.3 der Erklärung dargelegt, verpflichteten sich die Mitgliedstaaten vor 40 Jahren zu einer engeren kulturellen Zusammenarbeit.</w:t>
      </w:r>
    </w:p>
    <w:p>
      <w:pPr>
        <w:pStyle w:val="itemList"/>
      </w:pPr>
      <w:r>
        <w:t>1.</w:t>
      </w:r>
      <w:r>
        <w:tab/>
      </w:r>
      <w:r>
        <w:t>Ist der Rat der Ansicht, dass 40 Jahre nach der feierlichen Deklaration zur Europäischen Union alle unter Ziffer 3.3 genannten Ziele erreicht wurden, insbesondere die „Verbesserung der Kenntnisse über die anderen Mitgliedstaaten der Gemeinschaft und eine bessere Unterrichtung über die Geschichte und Kultur Europas im Hinblick auf die Förderung eines europäischen Bewußtseins [sic]“?</w:t>
      </w:r>
    </w:p>
    <w:p>
      <w:pPr>
        <w:pStyle w:val="itemList"/>
      </w:pPr>
      <w:r>
        <w:t>2.</w:t>
      </w:r>
      <w:r>
        <w:tab/>
      </w:r>
      <w:r>
        <w:t>Welche Ziele würden nach Auffassung des Rates in den kommenden 40 Jahren zu einer noch engeren Zusammenarbeit im kulturellen Bereich führen?</w:t>
      </w:r>
    </w:p>
    <w:p>
      <w:pPr>
        <w:pStyle w:val="itemList"/>
      </w:pPr>
      <w:r>
        <w:t>3.</w:t>
      </w:r>
      <w:r>
        <w:tab/>
      </w:r>
      <w:r>
        <w:t>Hat der Rat angesichts der derzeitigen konstitutionellen Situation vor, den 40. Jahrestag der feierlichen Deklaration zur Europäischen Union feierlich zu begehen?</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PE738.131v01-00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PE738.131v01-00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PE738.131v01-00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zur schriftlichen Beantwortung</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20221027-145832-006853-549474</vt:lpwstr>
  </property>
</Properties>
</file>