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Anfrage zur mündlichen Beantwortung O-000046/2020</w:t>
      </w:r>
    </w:p>
    <w:p>
      <w:pPr>
        <w:pStyle w:val="Arial10"/>
      </w:pPr>
      <w:r>
        <w:rPr>
          <w:rStyle w:val="Bold"/>
        </w:rPr>
        <w:t>an den Rat</w:t>
      </w:r>
    </w:p>
    <w:p>
      <w:pPr>
        <w:pStyle w:val="Arial10"/>
      </w:pPr>
      <w:r>
        <w:t>Artikel 136 der Geschäftsordnung</w:t>
      </w:r>
    </w:p>
    <w:p>
      <w:pPr>
        <w:pStyle w:val="Arial10After10"/>
      </w:pPr>
      <w:r>
        <w:rPr>
          <w:rStyle w:val="Bold"/>
        </w:rPr>
        <w:t>Daniel Freund</w:t>
      </w:r>
      <w:r>
        <w:t xml:space="preserve"> (</w:t>
      </w:r>
      <w:r>
        <w:t>Verts/ALE</w:t>
      </w:r>
      <w:r>
        <w:t xml:space="preserve">), </w:t>
      </w:r>
      <w:r>
        <w:rPr>
          <w:rStyle w:val="Bold"/>
        </w:rPr>
        <w:t>Petri Sarvamaa</w:t>
      </w:r>
      <w:r>
        <w:t xml:space="preserve"> (</w:t>
      </w:r>
      <w:r>
        <w:t>PPE</w:t>
      </w:r>
      <w:r>
        <w:t xml:space="preserve">), </w:t>
      </w:r>
      <w:r>
        <w:rPr>
          <w:rStyle w:val="Bold"/>
        </w:rPr>
        <w:t>Katalin Cseh</w:t>
      </w:r>
      <w:r>
        <w:t xml:space="preserve"> (</w:t>
      </w:r>
      <w:r>
        <w:t>Renew</w:t>
      </w:r>
      <w:r>
        <w:t xml:space="preserve">), </w:t>
      </w:r>
      <w:r>
        <w:rPr>
          <w:rStyle w:val="Bold"/>
        </w:rPr>
        <w:t>Eider Gardiazabal Rubial</w:t>
      </w:r>
      <w:r>
        <w:t xml:space="preserve"> (</w:t>
      </w:r>
      <w:r>
        <w:t>S&amp;D</w:t>
      </w:r>
      <w:r>
        <w:t xml:space="preserve">), </w:t>
      </w:r>
      <w:r>
        <w:rPr>
          <w:rStyle w:val="Bold"/>
        </w:rPr>
        <w:t>Alexandra Geese</w:t>
      </w:r>
      <w:r>
        <w:t xml:space="preserve"> (</w:t>
      </w:r>
      <w:r>
        <w:t>Verts/ALE</w:t>
      </w:r>
      <w:r>
        <w:t xml:space="preserve">), </w:t>
      </w:r>
      <w:r>
        <w:rPr>
          <w:rStyle w:val="Bold"/>
        </w:rPr>
        <w:t>Terry Reintke</w:t>
      </w:r>
      <w:r>
        <w:t xml:space="preserve"> (</w:t>
      </w:r>
      <w:r>
        <w:t>Verts/ALE</w:t>
      </w:r>
      <w:r>
        <w:t xml:space="preserve">), </w:t>
      </w:r>
      <w:r>
        <w:rPr>
          <w:rStyle w:val="Bold"/>
        </w:rPr>
        <w:t>Younous Omarjee</w:t>
      </w:r>
      <w:r>
        <w:t xml:space="preserve"> (</w:t>
      </w:r>
      <w:r>
        <w:t>GUE/NGL</w:t>
      </w:r>
      <w:r>
        <w:t xml:space="preserve">), </w:t>
      </w:r>
      <w:r>
        <w:rPr>
          <w:rStyle w:val="Bold"/>
        </w:rPr>
        <w:t>Radan Kanev</w:t>
      </w:r>
      <w:r>
        <w:t xml:space="preserve"> (</w:t>
      </w:r>
      <w:r>
        <w:t>PPE</w:t>
      </w:r>
      <w:r>
        <w:t xml:space="preserve">), </w:t>
      </w:r>
      <w:r>
        <w:rPr>
          <w:rStyle w:val="Bold"/>
        </w:rPr>
        <w:t>Petar Vitanov</w:t>
      </w:r>
      <w:r>
        <w:t xml:space="preserve"> (</w:t>
      </w:r>
      <w:r>
        <w:t>S&amp;D</w:t>
      </w:r>
      <w:r>
        <w:t xml:space="preserve">), </w:t>
      </w:r>
      <w:r>
        <w:rPr>
          <w:rStyle w:val="Bold"/>
        </w:rPr>
        <w:t>Moritz Körner</w:t>
      </w:r>
      <w:r>
        <w:t xml:space="preserve"> (</w:t>
      </w:r>
      <w:r>
        <w:t>Renew</w:t>
      </w:r>
      <w:r>
        <w:t xml:space="preserve">), </w:t>
      </w:r>
      <w:r>
        <w:rPr>
          <w:rStyle w:val="Bold"/>
        </w:rPr>
        <w:t>Sergey Lagodinsky</w:t>
      </w:r>
      <w:r>
        <w:t xml:space="preserve"> (</w:t>
      </w:r>
      <w:r>
        <w:t>Verts/ALE</w:t>
      </w:r>
      <w:r>
        <w:t xml:space="preserve">), </w:t>
      </w:r>
      <w:r>
        <w:rPr>
          <w:rStyle w:val="Bold"/>
        </w:rPr>
        <w:t>Abir Al-Sahlani</w:t>
      </w:r>
      <w:r>
        <w:t xml:space="preserve"> (</w:t>
      </w:r>
      <w:r>
        <w:t>Renew</w:t>
      </w:r>
      <w:r>
        <w:t xml:space="preserve">), </w:t>
      </w:r>
      <w:r>
        <w:rPr>
          <w:rStyle w:val="Bold"/>
        </w:rPr>
        <w:t>Lara Wolters</w:t>
      </w:r>
      <w:r>
        <w:t xml:space="preserve"> (</w:t>
      </w:r>
      <w:r>
        <w:t>S&amp;D</w:t>
      </w:r>
      <w:r>
        <w:t xml:space="preserve">), </w:t>
      </w:r>
      <w:r>
        <w:rPr>
          <w:rStyle w:val="Bold"/>
        </w:rPr>
        <w:t>Stelios Kouloglou</w:t>
      </w:r>
      <w:r>
        <w:t xml:space="preserve"> (</w:t>
      </w:r>
      <w:r>
        <w:t>GUE/NGL</w:t>
      </w:r>
      <w:r>
        <w:t xml:space="preserve">), </w:t>
      </w:r>
      <w:r>
        <w:rPr>
          <w:rStyle w:val="Bold"/>
        </w:rPr>
        <w:t>Gwendoline Delbos-Corfield</w:t>
      </w:r>
      <w:r>
        <w:t xml:space="preserve"> (</w:t>
      </w:r>
      <w:r>
        <w:t>Verts/ALE</w:t>
      </w:r>
      <w:r>
        <w:t xml:space="preserve">), </w:t>
      </w:r>
      <w:r>
        <w:rPr>
          <w:rStyle w:val="Bold"/>
        </w:rPr>
        <w:t>Sven Giegold</w:t>
      </w:r>
      <w:r>
        <w:t xml:space="preserve"> (</w:t>
      </w:r>
      <w:r>
        <w:t>Verts/ALE</w:t>
      </w:r>
      <w:r>
        <w:t xml:space="preserve">), </w:t>
      </w:r>
      <w:r>
        <w:rPr>
          <w:rStyle w:val="Bold"/>
        </w:rPr>
        <w:t>Rasmus Andresen</w:t>
      </w:r>
      <w:r>
        <w:t xml:space="preserve"> (</w:t>
      </w:r>
      <w:r>
        <w:t>Verts/ALE</w:t>
      </w:r>
      <w:r>
        <w:t xml:space="preserve">), </w:t>
      </w:r>
      <w:r>
        <w:rPr>
          <w:rStyle w:val="Bold"/>
        </w:rPr>
        <w:t>Ramona Strugariu</w:t>
      </w:r>
      <w:r>
        <w:t xml:space="preserve"> (</w:t>
      </w:r>
      <w:r>
        <w:t>Renew</w:t>
      </w:r>
      <w:r>
        <w:t xml:space="preserve">), </w:t>
      </w:r>
      <w:r>
        <w:rPr>
          <w:rStyle w:val="Bold"/>
        </w:rPr>
        <w:t>Monika Vana</w:t>
      </w:r>
      <w:r>
        <w:t xml:space="preserve"> (</w:t>
      </w:r>
      <w:r>
        <w:t>Verts/ALE</w:t>
      </w:r>
      <w:r>
        <w:t xml:space="preserve">), </w:t>
      </w:r>
      <w:r>
        <w:rPr>
          <w:rStyle w:val="Bold"/>
        </w:rPr>
        <w:t>Sándor Rónai</w:t>
      </w:r>
      <w:r>
        <w:t xml:space="preserve"> (</w:t>
      </w:r>
      <w:r>
        <w:t>S&amp;D</w:t>
      </w:r>
      <w:r>
        <w:t xml:space="preserve">), </w:t>
      </w:r>
      <w:r>
        <w:rPr>
          <w:rStyle w:val="Bold"/>
        </w:rPr>
        <w:t>Viola Von Cramon-Taubadel</w:t>
      </w:r>
      <w:r>
        <w:t xml:space="preserve"> (</w:t>
      </w:r>
      <w:r>
        <w:t>Verts/ALE</w:t>
      </w:r>
      <w:r>
        <w:t xml:space="preserve">), </w:t>
      </w:r>
      <w:r>
        <w:rPr>
          <w:rStyle w:val="Bold"/>
        </w:rPr>
        <w:t>Eleonora Evi</w:t>
      </w:r>
      <w:r>
        <w:t xml:space="preserve"> (</w:t>
      </w:r>
      <w:r>
        <w:t>NI</w:t>
      </w:r>
      <w:r>
        <w:t xml:space="preserve">), </w:t>
      </w:r>
      <w:r>
        <w:rPr>
          <w:rStyle w:val="Bold"/>
        </w:rPr>
        <w:t>Anna Júlia Donáth</w:t>
      </w:r>
      <w:r>
        <w:t xml:space="preserve"> (</w:t>
      </w:r>
      <w:r>
        <w:t>Renew</w:t>
      </w:r>
      <w:r>
        <w:t xml:space="preserve">), </w:t>
      </w:r>
      <w:r>
        <w:rPr>
          <w:rStyle w:val="Bold"/>
        </w:rPr>
        <w:t>Sirpa Pietikäinen</w:t>
      </w:r>
      <w:r>
        <w:t xml:space="preserve"> (</w:t>
      </w:r>
      <w:r>
        <w:t>PPE</w:t>
      </w:r>
      <w:r>
        <w:t xml:space="preserve">), </w:t>
      </w:r>
      <w:r>
        <w:rPr>
          <w:rStyle w:val="Bold"/>
        </w:rPr>
        <w:t>Pascal Durand</w:t>
      </w:r>
      <w:r>
        <w:t xml:space="preserve"> (</w:t>
      </w:r>
      <w:r>
        <w:t>Renew</w:t>
      </w:r>
      <w:r>
        <w:t xml:space="preserve">), </w:t>
      </w:r>
      <w:r>
        <w:rPr>
          <w:rStyle w:val="Bold"/>
        </w:rPr>
        <w:t>Heidi Hautala</w:t>
      </w:r>
      <w:r>
        <w:t xml:space="preserve"> (</w:t>
      </w:r>
      <w:r>
        <w:t>Verts/ALE</w:t>
      </w:r>
      <w:r>
        <w:t xml:space="preserve">), </w:t>
      </w:r>
      <w:r>
        <w:rPr>
          <w:rStyle w:val="Bold"/>
        </w:rPr>
        <w:t>Alice Kuhnke</w:t>
      </w:r>
      <w:r>
        <w:t xml:space="preserve"> (</w:t>
      </w:r>
      <w:r>
        <w:t>Verts/ALE</w:t>
      </w:r>
      <w:r>
        <w:t xml:space="preserve">), </w:t>
      </w:r>
      <w:r>
        <w:rPr>
          <w:rStyle w:val="Bold"/>
        </w:rPr>
        <w:t>Markéta Gregorová</w:t>
      </w:r>
      <w:r>
        <w:t xml:space="preserve"> (</w:t>
      </w:r>
      <w:r>
        <w:t>Verts/ALE</w:t>
      </w:r>
      <w:r>
        <w:t xml:space="preserve">), </w:t>
      </w:r>
      <w:r>
        <w:rPr>
          <w:rStyle w:val="Bold"/>
        </w:rPr>
        <w:t>Damian Boeselager</w:t>
      </w:r>
      <w:r>
        <w:t xml:space="preserve"> (</w:t>
      </w:r>
      <w:r>
        <w:t>Verts/ALE</w:t>
      </w:r>
      <w:r>
        <w:t xml:space="preserve">), </w:t>
      </w:r>
      <w:r>
        <w:rPr>
          <w:rStyle w:val="Bold"/>
        </w:rPr>
        <w:t>Niklas Nienaß</w:t>
      </w:r>
      <w:r>
        <w:t xml:space="preserve"> (</w:t>
      </w:r>
      <w:r>
        <w:t>Verts/ALE</w:t>
      </w:r>
      <w:r>
        <w:t xml:space="preserve">), </w:t>
      </w:r>
      <w:r>
        <w:rPr>
          <w:rStyle w:val="Bold"/>
        </w:rPr>
        <w:t>Henrike Hahn</w:t>
      </w:r>
      <w:r>
        <w:t xml:space="preserve"> (</w:t>
      </w:r>
      <w:r>
        <w:t>Verts/ALE</w:t>
      </w:r>
      <w:r>
        <w:t xml:space="preserve">), </w:t>
      </w:r>
      <w:r>
        <w:rPr>
          <w:rStyle w:val="Bold"/>
        </w:rPr>
        <w:t>Sophia in 't Veld</w:t>
      </w:r>
      <w:r>
        <w:t xml:space="preserve"> (</w:t>
      </w:r>
      <w:r>
        <w:t>Renew</w:t>
      </w:r>
      <w:r>
        <w:t xml:space="preserve">), </w:t>
      </w:r>
      <w:r>
        <w:rPr>
          <w:rStyle w:val="Bold"/>
        </w:rPr>
        <w:t>Siegfried Mureşan</w:t>
      </w:r>
      <w:r>
        <w:t xml:space="preserve"> (</w:t>
      </w:r>
      <w:r>
        <w:t>PPE</w:t>
      </w:r>
      <w:r>
        <w:t xml:space="preserve">), </w:t>
      </w:r>
      <w:r>
        <w:rPr>
          <w:rStyle w:val="Bold"/>
        </w:rPr>
        <w:t>José Manuel Fernandes</w:t>
      </w:r>
      <w:r>
        <w:t xml:space="preserve"> (</w:t>
      </w:r>
      <w:r>
        <w:t>PPE</w:t>
      </w:r>
      <w:r>
        <w:t xml:space="preserve">), </w:t>
      </w:r>
      <w:r>
        <w:rPr>
          <w:rStyle w:val="Bold"/>
        </w:rPr>
        <w:t>Tomáš Zdechovský</w:t>
      </w:r>
      <w:r>
        <w:t xml:space="preserve"> (</w:t>
      </w:r>
      <w:r>
        <w:t>PPE</w:t>
      </w:r>
      <w:r>
        <w:t xml:space="preserve">), </w:t>
      </w:r>
      <w:r>
        <w:rPr>
          <w:rStyle w:val="Bold"/>
        </w:rPr>
        <w:t>François-Xavier Bellamy</w:t>
      </w:r>
      <w:r>
        <w:t xml:space="preserve"> (</w:t>
      </w:r>
      <w:r>
        <w:t>PPE</w:t>
      </w:r>
      <w:r>
        <w:t xml:space="preserve">), </w:t>
      </w:r>
      <w:r>
        <w:rPr>
          <w:rStyle w:val="Bold"/>
        </w:rPr>
        <w:t>Monika Hohlmeier</w:t>
      </w:r>
      <w:r>
        <w:t xml:space="preserve"> (</w:t>
      </w:r>
      <w:r>
        <w:t>PPE</w:t>
      </w:r>
      <w:r>
        <w:t xml:space="preserve">), </w:t>
      </w:r>
      <w:r>
        <w:rPr>
          <w:rStyle w:val="Bold"/>
        </w:rPr>
        <w:t>Henna Virkkunen</w:t>
      </w:r>
      <w:r>
        <w:t xml:space="preserve"> (</w:t>
      </w:r>
      <w:r>
        <w:t>PPE</w:t>
      </w:r>
      <w:r>
        <w:t xml:space="preserve">), </w:t>
      </w:r>
      <w:r>
        <w:rPr>
          <w:rStyle w:val="Bold"/>
        </w:rPr>
        <w:t>Maria Spyraki</w:t>
      </w:r>
      <w:r>
        <w:t xml:space="preserve"> (</w:t>
      </w:r>
      <w:r>
        <w:t>PPE</w:t>
      </w:r>
      <w:r>
        <w:t>)</w:t>
      </w:r>
    </w:p>
    <w:p>
      <w:pPr>
        <w:pStyle w:val="Subject"/>
      </w:pPr>
      <w:r>
        <w:t>Betrifft</w:t>
      </w:r>
      <w:r>
        <w:t>:</w:t>
      </w:r>
      <w:r>
        <w:tab/>
      </w:r>
      <w:r>
        <w:t>Aktueller Stand der Verhandlungen im Rat über die Verordnung über den Schutz des Haushalts der Union im Falle von generellen Mängeln in Bezug auf das Rechtsstaatsprinzip in den Mitgliedstaaten</w:t>
      </w:r>
    </w:p>
    <w:p>
      <w:pPr>
        <w:pStyle w:val="Body"/>
      </w:pPr>
      <w:r>
        <w:t>Im Mai 2018 legte die Kommission einen Vorschlag für eine Verordnung über den Schutz des Haushalts der Union im Falle von generellen Mängeln in Bezug auf das Rechtsstaatsprinzip in den Mitgliedstaaten (im Folgenden „Verordnung“) vor.</w:t>
      </w:r>
    </w:p>
    <w:p>
      <w:pPr>
        <w:pStyle w:val="Body"/>
      </w:pPr>
      <w:r>
        <w:t>Das Parlament nahm seinen Standpunkt zu dem Vorschlag für die Verordnung im April 2019 in erster Lesung an und zeigte sich bereit, in interinstitutionelle Verhandlungen einzutreten. Der Rat hat den Vorschlag für die Verordnung im Rahmen seiner Tagungen erörtert, bisher jedoch weder seinen Standpunkt angenommen noch das Parlament hinreichend über den aktuellen Stand der Verhandlungen über die Verordnung informiert.</w:t>
      </w:r>
    </w:p>
    <w:p>
      <w:pPr>
        <w:pStyle w:val="Body"/>
      </w:pPr>
      <w:r>
        <w:t>Das Parlament hat den Rat aufgefordert, in zielführende Gespräche über seine laufenden Verhandlungen einzutreten, und betont, dass es nicht einfach eine vom Europäischen Rat geschaffene vollendete Tatsache durchwinken wird, wenn keine ordnungsgemäßen Verhandlungen über alle Aspekte des Pakets für den mehrjährigen Finanzrahmen (MFR) und der sektorspezifischen Rechtsvorschriften, einschließlich der Verordnung, geführt werden </w:t>
      </w:r>
      <w:r>
        <w:rPr>
          <w:rStyle w:val="FootnoteReference"/>
        </w:rPr>
        <w:footnoteReference w:id="0"/>
      </w:r>
      <w:r>
        <w:t xml:space="preserve"> .</w:t>
      </w:r>
    </w:p>
    <w:p>
      <w:pPr>
        <w:pStyle w:val="Body"/>
      </w:pPr>
      <w:r>
        <w:t>Vor diesem Hintergrund wird der Rat darum ersucht, folgende Fragen zu beantworten:</w:t>
      </w:r>
    </w:p>
    <w:p>
      <w:pPr>
        <w:pStyle w:val="Body"/>
      </w:pPr>
      <w:r>
        <w:t>1. Was sind die wichtigsten Punkte der Verordnung, über die im Rat noch diskutiert wird?</w:t>
      </w:r>
    </w:p>
    <w:p>
      <w:pPr>
        <w:pStyle w:val="Body"/>
      </w:pPr>
      <w:r>
        <w:t>2. Da sich die Verordnung auf Artikel 322 Absatz 1 Buchstabe a des Vertrags über die Arbeitsweise der Europäischen Union stützt, wird im Rahmen des ordentlichen Gesetzgebungsverfahrens darüber entschieden. Kann der Rat angesichts des Umstands, dass der Europäische Rat gemäß Artikel 15 Absatz 1 des Vertrags über die Europäische Union „nicht gesetzgeberisch tätig [wird]“, bestätigen, dass die Schlussfolgerungen des Europäischen Rates zum MFR den wesentlichen Inhalt des Vorschlags, einschließlich Fragen wie das anzuwendende Beschlussfassungsverfahren, nicht berühren werden, da dies einen eindeutigen Eingriff in die legislativen Vorrechte der beiden gesetzgebenden Organe darstellen würde?</w:t>
      </w:r>
    </w:p>
    <w:p>
      <w:pPr>
        <w:pStyle w:val="Body"/>
      </w:pPr>
      <w:r>
        <w:t>3. Wann beabsichtigt der Rat, Verhandlungen mit dem Parlament aufzunehmen?</w:t>
      </w:r>
    </w:p>
    <w:p>
      <w:pPr>
        <w:pStyle w:val="Body"/>
      </w:pPr>
      <w:r>
        <w:t>Eingang: 07/07/2020</w:t>
      </w:r>
    </w:p>
    <w:p>
      <w:pPr>
        <w:pStyle w:val="Body"/>
      </w:pPr>
      <w:r>
        <w:t>Fristablauf: 08/10/2020</w:t>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PE655.325v01-00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PE655.325v01-00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PE655.325v01-00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r>
      <w:r>
        <w:t>Siehe Entschließung des Europäischen Parlaments vom 10. Oktober 2019 zum Thema „Mehrjähriger Finanzrahmen 2021–2027 und Eigenmittel: Die Erwartungen der Bürger sollten jetzt erfüllt werden“ (Angenommene Texte, P9_TA(2019)0032).</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zur mündlichen Beantwortung</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20200708-181214-130667-040934</vt:lpwstr>
  </property>
</Properties>
</file>