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Priority question for written answer</w:t>
      </w:r>
      <w:r>
        <w:t xml:space="preserve"> </w:t>
      </w:r>
      <w:r>
        <w:t>P-003513/2026</w:t>
      </w:r>
    </w:p>
    <w:p>
      <w:pPr>
        <w:pStyle w:val="NormalBold"/>
      </w:pPr>
      <w:r>
        <w:t xml:space="preserve">to the </w:t>
      </w:r>
      <w:r>
        <w:t>Commission</w:t>
      </w:r>
    </w:p>
    <w:p>
      <w:r>
        <w:t>Rule 144</w:t>
      </w:r>
    </w:p>
    <w:p>
      <w:r>
        <w:rPr>
          <w:b/>
        </w:rPr>
        <w:t>Jörgen Warborn</w:t>
      </w:r>
      <w:r>
        <w:rPr>
          <w:b/>
        </w:rPr>
        <w:t xml:space="preserve"> (</w:t>
      </w:r>
      <w:r>
        <w:rPr>
          <w:b/>
        </w:rPr>
        <w:t>PPE</w:t>
      </w:r>
      <w:r>
        <w:rPr>
          <w:b/>
        </w:rPr>
        <w:t>)</w:t>
      </w:r>
    </w:p>
    <w:p/>
    <w:p>
      <w:pPr>
        <w:pStyle w:val="QuestionSubject"/>
      </w:pPr>
      <w:r>
        <w:t>Subject:</w:t>
        <w:tab/>
      </w:r>
      <w:r>
        <w:t>Preferential treatment of domestic goods in public procurement (national preference)</w:t>
      </w:r>
    </w:p>
    <w:p>
      <w:pPr>
        <w:pStyle w:val="Normal12a"/>
      </w:pPr>
      <w:r>
        <w:t>In recent years, a number of third countries have introduced provisions that reward the domestic production of goods in public procurement procedures and give domestic companies structural competitive advantages over European companies. Such national preference provisions are applied in, inter alia, the US and Canada through the ‘Buy American’ and ‘Buy Canadian’ initiatives respectively. These provisions constitute structural discrimination against EU companies producing on European soil, effectively excluding them from sections of the procurement markets, or significantly undermining their competitiveness compared to companies benefiting from a national preference. Through both formal – including the World Trade Organization – and informal channels of communication, the Commission has criticised ‘Buy Canadian’, among others, for breaching international commitments. At the same time, it is clear that the introduction of national preference schemes in one country risks causing cascade effects, with more countries following suit and procurement markets effectively closing in the long term. Such a development would be very negative for EU companies, as the main emerging markets are located outside the EU and access to them would be undermined if more countries were to introduce national preference schemes.</w:t>
      </w:r>
    </w:p>
    <w:p>
      <w:pPr>
        <w:pStyle w:val="Normal12a"/>
      </w:pPr>
      <w:r>
        <w:t>In light of the above, what is the Commission doing to prevent more countries from introducing national preference schemes in procurement procedures and maintain or improve EU companies’ access to key emerging markets?</w:t>
      </w:r>
    </w:p>
    <w:p>
      <w:pPr>
        <w:pStyle w:val="Normal12a"/>
      </w:pPr>
      <w:r>
        <w:t xml:space="preserve">Submitted: </w:t>
      </w:r>
      <w:r>
        <w:t>4.9.2026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PE795.771v01-00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PE795.771v01-00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PE795.771v01-00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244</Words>
  <Characters>1511</Characters>
  <Application>Microsoft Office Word</Application>
  <DocSecurity>0</DocSecurity>
  <Lines>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610460</vt:lpwstr>
  </property>
  <property fmtid="{D5CDD505-2E9C-101B-9397-08002B2CF9AE}" pid="3" name="dmxml.render.traceId">
    <vt:lpwstr>6aa191be4bfb1ad6c489acdf9ea38e57</vt:lpwstr>
  </property>
  <property fmtid="{D5CDD505-2E9C-101B-9397-08002B2CF9AE}" pid="4" name="Model">
    <vt:lpwstr>QE</vt:lpwstr>
  </property>
  <property fmtid="{D5CDD505-2E9C-101B-9397-08002B2CF9AE}" pid="5" name="Type">
    <vt:lpwstr>QE</vt:lpwstr>
  </property>
</Properties>
</file>