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Prioriterad fråga för skriftligt besvarande</w:t>
      </w:r>
      <w:r>
        <w:t xml:space="preserve"> </w:t>
      </w:r>
      <w:r>
        <w:t>P-003513/2026</w:t>
      </w:r>
    </w:p>
    <w:p>
      <w:pPr>
        <w:pStyle w:val="NormalBold"/>
      </w:pPr>
      <w:r>
        <w:t xml:space="preserve">till </w:t>
      </w:r>
      <w:r>
        <w:t>kommissionen</w:t>
      </w:r>
    </w:p>
    <w:p>
      <w:r>
        <w:t>Artikel 144 i arbetsordningen</w:t>
      </w:r>
    </w:p>
    <w:p>
      <w:r>
        <w:rPr>
          <w:b/>
        </w:rPr>
        <w:t>Jörgen Warborn</w:t>
      </w:r>
      <w:r>
        <w:rPr>
          <w:b/>
        </w:rPr>
        <w:t xml:space="preserve"> (</w:t>
      </w:r>
      <w:r>
        <w:rPr>
          <w:b/>
        </w:rPr>
        <w:t>PPE</w:t>
      </w:r>
      <w:r>
        <w:rPr>
          <w:b/>
        </w:rPr>
        <w:t>)</w:t>
      </w:r>
    </w:p>
    <w:p/>
    <w:p>
      <w:pPr>
        <w:pStyle w:val="QuestionSubject"/>
      </w:pPr>
      <w:r>
        <w:t>Angående:</w:t>
        <w:tab/>
      </w:r>
      <w:r>
        <w:t>Förmånsbehandling av inhemska varor vid offentlig upphandling (nationell preferens)</w:t>
      </w:r>
    </w:p>
    <w:p>
      <w:pPr>
        <w:pStyle w:val="Normal12a"/>
      </w:pPr>
      <w:r>
        <w:t>Ett antal tredjeländer har på senare år infört bestämmelser som i offentliga upphandlingsförfaranden premierar inhemsk varuproduktion och ger inhemska företag strukturella konkurrensfördelar gentemot europeiska företag. Sådana bestämmelser om nationell preferens tillämpas i bl.a. USA och Kanada genom ”Buy American” respektive ”Buy Canadian”-initiativen. Bestämmelserna utgör strukturell diskriminering av EU-företag med produktion på europeisk mark och innebär att dessa i praktiken utestängs från delar av upphandlingsmarknaderna, eller får sin konkurrenskraft avsevärt undergrävd i förhållande till företag som åtnjuter nationell preferens. Kommissionen har både via formella kanaler, inbegripet genom Världshandelsorganisationen, och genom informella kontaktvägar kritiserat bl.a. ”Buy Canadian” för att bryta mot internationella åtaganden. Det är samtidigt uppenbart att införandet av system för nationell preferens i ett land riskerar orsaka kaskadeffekter där fler länder följer efter och upphandlingsmarknaderna i praktiken på sikt kommer stängas. En sådan utveckling vore mycket negativ för EU:s företag eftersom de främsta tillväxtmarknaderna återfinns utanför unionen och tillträdet till dessa undergrävs om fler länder inför system för nationell preferens.</w:t>
      </w:r>
    </w:p>
    <w:p>
      <w:pPr>
        <w:pStyle w:val="Normal12a"/>
      </w:pPr>
      <w:r>
        <w:t>Mot den bakgrunden undrar jag hur kommissionen agerar för att motverka att fler länder inför system för nationell preferens i upphandlingsförfaranden och hur man verkar för att vidmakthålla eller förbättra EU-företagens tillträde till viktiga tillväxtmarknader.</w:t>
      </w:r>
    </w:p>
    <w:p>
      <w:pPr>
        <w:pStyle w:val="Normal12a"/>
      </w:pPr>
      <w:r>
        <w:t xml:space="preserve">Ingiven: </w:t>
      </w:r>
      <w:r>
        <w:t>4.9.2026</w:t>
      </w:r>
    </w:p>
    <w:sectPr>
      <w:footerReference w:type="even" r:id="rId4"/>
      <w:footerReference w:type="default" r:id="rId5"/>
      <w:footerReference w:type="first" r:id="rId6"/>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PE795.771v01-00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PE795.771v01-00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PE795.771v01-00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FootnoteTextForceStyle">
    <w:name w:val="Footnote Text ForceStyle"/>
    <w:pPr>
      <w:widowControl/>
      <w:tabs>
        <w:tab w:val="left" w:pos="284"/>
      </w:tabs>
      <w:overflowPunct/>
      <w:ind w:left="284" w:hanging="284"/>
    </w:p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character" w:customStyle="1" w:styleId="HideTWBInt">
    <w:name w:val="HideTWBInt"/>
    <w:rPr>
      <w:rFonts w:ascii="Arial" w:eastAsia="Arial" w:hAnsi="Arial" w:cs="Arial"/>
      <w:vanish/>
      <w:color w:val="808080"/>
      <w:sz w:val="20"/>
    </w:r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222</Words>
  <Characters>1549</Characters>
  <Application>Microsoft Office Word</Application>
  <DocSecurity>0</DocSecurity>
  <Lines>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610461</vt:lpwstr>
  </property>
  <property fmtid="{D5CDD505-2E9C-101B-9397-08002B2CF9AE}" pid="3" name="dmxml.render.traceId">
    <vt:lpwstr>6aa191be1b927792c5962d4fb4bd854e</vt:lpwstr>
  </property>
  <property fmtid="{D5CDD505-2E9C-101B-9397-08002B2CF9AE}" pid="4" name="Model">
    <vt:lpwstr>QE</vt:lpwstr>
  </property>
  <property fmtid="{D5CDD505-2E9C-101B-9397-08002B2CF9AE}" pid="5" name="Type">
    <vt:lpwstr>QE</vt:lpwstr>
  </property>
</Properties>
</file>