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Vraag met voorrang met verzoek om schriftelijk antwoord</w:t>
      </w:r>
      <w:r>
        <w:t xml:space="preserve"> </w:t>
      </w:r>
      <w:r>
        <w:t>P-003877/2026</w:t>
      </w:r>
    </w:p>
    <w:p>
      <w:pPr>
        <w:pStyle w:val="NormalBold"/>
      </w:pPr>
      <w:r>
        <w:t xml:space="preserve">aan de </w:t>
      </w:r>
      <w:r>
        <w:t>Commissie</w:t>
      </w:r>
    </w:p>
    <w:p>
      <w:r>
        <w:t>Artikel 144 van het Reglement</w:t>
      </w:r>
    </w:p>
    <w:p>
      <w:r>
        <w:rPr>
          <w:b/>
        </w:rPr>
        <w:t>Raquel García Hermida-Van Der Walle</w:t>
      </w:r>
      <w:r>
        <w:rPr>
          <w:b/>
        </w:rPr>
        <w:t xml:space="preserve"> (</w:t>
      </w:r>
      <w:r>
        <w:rPr>
          <w:b/>
        </w:rPr>
        <w:t>Renew</w:t>
      </w:r>
      <w:r>
        <w:rPr>
          <w:b/>
        </w:rPr>
        <w:t xml:space="preserve">), </w:t>
      </w:r>
      <w:r>
        <w:rPr>
          <w:b/>
        </w:rPr>
        <w:t>Anouk Van Brug</w:t>
      </w:r>
      <w:r>
        <w:rPr>
          <w:b/>
        </w:rPr>
        <w:t xml:space="preserve"> (</w:t>
      </w:r>
      <w:r>
        <w:rPr>
          <w:b/>
        </w:rPr>
        <w:t>Renew</w:t>
      </w:r>
      <w:r>
        <w:rPr>
          <w:b/>
        </w:rPr>
        <w:t>)</w:t>
      </w:r>
    </w:p>
    <w:p/>
    <w:p>
      <w:pPr>
        <w:pStyle w:val="QuestionSubject"/>
      </w:pPr>
      <w:r>
        <w:t>Betreft:</w:t>
        <w:tab/>
      </w:r>
      <w:r>
        <w:t xml:space="preserve">Wetgevend voorstel ter bestrijding van haatzaaiende uitlatingen en haatmisdrijven tegen lhbti’ers </w:t>
      </w:r>
    </w:p>
    <w:p>
      <w:pPr>
        <w:pStyle w:val="Normal12a"/>
      </w:pPr>
      <w:r>
        <w:t>In Nederland is de acceptatie van lhbti’ers onder jongeren de afgelopen vier jaar enorm afgenomen. Onder meisjes keek 78 % in 2021 positief naar homoseksualiteit, tegen 51 % in 2025. Onder jongens daalde dit percentage van 40 % naar 22 %</w:t>
      </w:r>
      <w:r>
        <w:rPr>
          <w:rStyle w:val="FootnoteReference"/>
        </w:rPr>
        <w:footnoteReference w:customMarkFollows="1" w:id="2"/>
        <w:t xml:space="preserve">1</w:t>
      </w:r>
      <w:r>
        <w:t>.</w:t>
      </w:r>
    </w:p>
    <w:p>
      <w:pPr>
        <w:pStyle w:val="Normal12a"/>
      </w:pPr>
      <w:r>
        <w:t>Sociale media worden hier nadrukkelijk genoemd als plek waar jongeren worden blootgesteld aan negatieve opvattingen, discriminatie en verruwing van de communicatie rondom seksuele diversiteit en genderdiversiteit</w:t>
      </w:r>
      <w:r>
        <w:rPr>
          <w:rStyle w:val="FootnoteReference"/>
        </w:rPr>
        <w:footnoteReference w:customMarkFollows="1" w:id="3"/>
        <w:t xml:space="preserve">2</w:t>
      </w:r>
      <w:r>
        <w:t>.</w:t>
      </w:r>
    </w:p>
    <w:p>
      <w:pPr>
        <w:pStyle w:val="Normal12a"/>
      </w:pPr>
      <w:r>
        <w:t>In de lhbtiq+-strategie 2026-2030 stelt de Commissie dat het een wetgevingsinitiatief “overweegt” om de definities van online haatmisdrijven te harmoniseren op basis van de bestaande strafbare feiten die onder artikel 83, lid 1, VWEU vallen, waar “computercriminaliteit” onder valt</w:t>
      </w:r>
      <w:r>
        <w:rPr>
          <w:rStyle w:val="FootnoteReference"/>
        </w:rPr>
        <w:footnoteReference w:customMarkFollows="1" w:id="4"/>
        <w:t xml:space="preserve">3</w:t>
      </w:r>
      <w:r>
        <w:t>. In de Raad is hier tijdens het wetgevende proces geen unanimiteit nodig, maar slechts een gekwalificeerde meerderheid.</w:t>
      </w:r>
    </w:p>
    <w:p>
      <w:pPr>
        <w:pStyle w:val="NormalHanging12a"/>
      </w:pPr>
      <w:r>
        <w:t>1.</w:t>
      </w:r>
      <w:r>
        <w:tab/>
      </w:r>
      <w:r>
        <w:t>Wat is de reactie van de Commissie op het verontrustende nieuws uit Nederland, en is er eenzelfde trend gaande in andere lidstaten?</w:t>
      </w:r>
    </w:p>
    <w:p>
      <w:pPr>
        <w:pStyle w:val="NormalHanging12a"/>
      </w:pPr>
      <w:r>
        <w:t>2.</w:t>
      </w:r>
      <w:r>
        <w:tab/>
      </w:r>
      <w:r>
        <w:t>Hoe staat het met de voorbereidingen van dit wetgevend voorstel?</w:t>
      </w:r>
    </w:p>
    <w:p>
      <w:pPr>
        <w:pStyle w:val="NormalHanging12a"/>
      </w:pPr>
      <w:r>
        <w:t>3.</w:t>
      </w:r>
      <w:r>
        <w:tab/>
      </w:r>
      <w:r>
        <w:t>Zal de Commissie dit wetgevend voorstel in haar werkprogramma 2027 opnemen, zodat lhbti’ers spoedig na het wetgevende proces beter beschermd zijn tegen online haatmisdrijven via het strafrecht, zodat de daling van de acceptatie van lhbti’ers kan worden gekenterd, en zodat de “Unie van gelijkheid” een stap dichterbij is?</w:t>
      </w:r>
    </w:p>
    <w:p>
      <w:pPr>
        <w:pStyle w:val="Normal12a"/>
      </w:pPr>
      <w:r>
        <w:t xml:space="preserve">Ingediend: </w:t>
      </w:r>
      <w:r>
        <w:t>28.9.2026</w:t>
      </w:r>
    </w:p>
    <w:sectPr>
      <w:footerReference w:type="even" r:id="rId5"/>
      <w:footerReference w:type="default" r:id="rId6"/>
      <w:footerReference w:type="first" r:id="rId7"/>
      <w:footnotePr>
        <w:numRestart w:val="eachSect"/>
      </w:footnotePr>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PE796.699v01-00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PE796.699v01-00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PE796.699v01-00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ab/>
      </w:r>
      <w:hyperlink r:id="rId1" w:tgtFrame="https://nos.nl/artikel/2631939-homo-acceptatie-daalt-sterk-ouders-en-scholen-moeten-gesprek-aangaan" w:history="1">
        <w:r>
          <w:rPr>
            <w:rStyle w:val="Hyperlink"/>
          </w:rPr>
          <w:t>https://nos.nl/artikel/2631939-homo-acceptatie-daalt-sterk-ouders-en-scholen-moeten-gesprek-aangaan</w:t>
        </w:r>
      </w:hyperlink>
      <w:r>
        <w:t>.</w:t>
      </w:r>
    </w:p>
  </w:footnote>
  <w:footnote w:id="3">
    <w:p>
      <w:pPr>
        <w:pStyle w:val="FootnoteText"/>
      </w:pPr>
      <w:r>
        <w:rPr>
          <w:rStyle w:val="FootnoteReference"/>
        </w:rPr>
        <w:t>2</w:t>
      </w:r>
      <w:r>
        <w:t xml:space="preserve"> </w:t>
      </w:r>
      <w:r>
        <w:tab/>
      </w:r>
      <w:hyperlink r:id="rId2" w:tgtFrame="https://bijlagen.nos.nl/artikel-26108691/HBSC_2025_Gezondheid_en_welzijn_van_jongeren_in_Nederland_(1).pdf" w:history="1">
        <w:r>
          <w:rPr>
            <w:rStyle w:val="Hyperlink"/>
          </w:rPr>
          <w:t>https://bijlagen.nos.nl/artikel-26108691/HBSC_2025_Gezondheid_en_welzijn_van_jongeren_in_Nederland_(1).pdf</w:t>
        </w:r>
      </w:hyperlink>
      <w:r>
        <w:t>.</w:t>
      </w:r>
    </w:p>
  </w:footnote>
  <w:footnote w:id="4">
    <w:p>
      <w:pPr>
        <w:pStyle w:val="FootnoteText"/>
      </w:pPr>
      <w:r>
        <w:rPr>
          <w:rStyle w:val="FootnoteReference"/>
        </w:rPr>
        <w:t>3</w:t>
      </w:r>
      <w:r>
        <w:t xml:space="preserve"> </w:t>
      </w:r>
      <w:r>
        <w:tab/>
      </w:r>
      <w:hyperlink r:id="rId3" w:tgtFrame="https://commission.europa.eu/publications/lgbtiq-equality-strategy-2026-2030-0_en" w:history="1">
        <w:r>
          <w:rPr>
            <w:rStyle w:val="Hyperlink"/>
          </w:rPr>
          <w:t>https://commission.europa.eu/publications/lgbtiq-equality-strategy-2026-2030-0_en</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nos.nl/artikel/2631939-homo-acceptatie-daalt-sterk-ouders-en-scholen-moeten-gesprek-aangaan" TargetMode="External" /><Relationship Id="rId2" Type="http://schemas.openxmlformats.org/officeDocument/2006/relationships/hyperlink" Target="https://bijlagen.nos.nl/artikel-26108691/HBSC_2025_Gezondheid_en_welzijn_van_jongeren_in_Nederland_(1).pdf" TargetMode="External" /><Relationship Id="rId3" Type="http://schemas.openxmlformats.org/officeDocument/2006/relationships/hyperlink" Target="https://commission.europa.eu/publications/lgbtiq-equality-strategy-2026-2030-0_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247</Words>
  <Characters>1449</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634703</vt:lpwstr>
  </property>
  <property fmtid="{D5CDD505-2E9C-101B-9397-08002B2CF9AE}" pid="3" name="dmxml.render.traceId">
    <vt:lpwstr>6abd2b58c1800584b53ee499e9de1b69</vt:lpwstr>
  </property>
  <property fmtid="{D5CDD505-2E9C-101B-9397-08002B2CF9AE}" pid="4" name="Model">
    <vt:lpwstr>QE</vt:lpwstr>
  </property>
  <property fmtid="{D5CDD505-2E9C-101B-9397-08002B2CF9AE}" pid="5" name="Type">
    <vt:lpwstr>QE</vt:lpwstr>
  </property>
</Properties>
</file>