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prioritaire avec demande de réponse écrite P-002866/2020</w:t>
      </w:r>
    </w:p>
    <w:p>
      <w:pPr>
        <w:pStyle w:val="Arial10"/>
      </w:pPr>
      <w:r>
        <w:rPr>
          <w:rStyle w:val="Bold"/>
        </w:rPr>
        <w:t>à la Commission</w:t>
      </w:r>
    </w:p>
    <w:p>
      <w:pPr>
        <w:pStyle w:val="Arial10"/>
      </w:pPr>
      <w:r>
        <w:t>Article 138 du règlement intérieur</w:t>
      </w:r>
    </w:p>
    <w:p>
      <w:pPr>
        <w:pStyle w:val="Arial10After10"/>
      </w:pPr>
      <w:r>
        <w:rPr>
          <w:rStyle w:val="Bold"/>
        </w:rPr>
        <w:t>Sandro Gozi</w:t>
      </w:r>
      <w:r>
        <w:t xml:space="preserve"> (</w:t>
      </w:r>
      <w:r>
        <w:t>Renew</w:t>
      </w:r>
      <w:r>
        <w:t xml:space="preserve">), </w:t>
      </w:r>
      <w:r>
        <w:rPr>
          <w:rStyle w:val="Bold"/>
        </w:rPr>
        <w:t>Ilana Cicurel</w:t>
      </w:r>
      <w:r>
        <w:t xml:space="preserve"> (</w:t>
      </w:r>
      <w:r>
        <w:t>Renew</w:t>
      </w:r>
      <w:r>
        <w:t xml:space="preserve">), </w:t>
      </w:r>
      <w:r>
        <w:rPr>
          <w:rStyle w:val="Bold"/>
        </w:rPr>
        <w:t>Pascal Durand</w:t>
      </w:r>
      <w:r>
        <w:t xml:space="preserve"> (</w:t>
      </w:r>
      <w:r>
        <w:t>Renew</w:t>
      </w:r>
      <w:r>
        <w:t xml:space="preserve">), </w:t>
      </w:r>
      <w:r>
        <w:rPr>
          <w:rStyle w:val="Bold"/>
        </w:rPr>
        <w:t>Stéphanie Yon-Courtin</w:t>
      </w:r>
      <w:r>
        <w:t xml:space="preserve"> (</w:t>
      </w:r>
      <w:r>
        <w:t>Renew</w:t>
      </w:r>
      <w:r>
        <w:t xml:space="preserve">), </w:t>
      </w:r>
      <w:r>
        <w:rPr>
          <w:rStyle w:val="Bold"/>
        </w:rPr>
        <w:t>Fabienne Keller</w:t>
      </w:r>
      <w:r>
        <w:t xml:space="preserve"> (</w:t>
      </w:r>
      <w:r>
        <w:t>Renew</w:t>
      </w:r>
      <w:r>
        <w:t xml:space="preserve">), </w:t>
      </w:r>
      <w:r>
        <w:rPr>
          <w:rStyle w:val="Bold"/>
        </w:rPr>
        <w:t>Véronique Trillet-Lenoir</w:t>
      </w:r>
      <w:r>
        <w:t xml:space="preserve"> (</w:t>
      </w:r>
      <w:r>
        <w:t>Renew</w:t>
      </w:r>
      <w:r>
        <w:t xml:space="preserve">), </w:t>
      </w:r>
      <w:r>
        <w:rPr>
          <w:rStyle w:val="Bold"/>
        </w:rPr>
        <w:t>Catherine Chabaud</w:t>
      </w:r>
      <w:r>
        <w:t xml:space="preserve"> (</w:t>
      </w:r>
      <w:r>
        <w:t>Renew</w:t>
      </w:r>
      <w:r>
        <w:t xml:space="preserve">), </w:t>
      </w:r>
      <w:r>
        <w:rPr>
          <w:rStyle w:val="Bold"/>
        </w:rPr>
        <w:t>Valerie Hayer</w:t>
      </w:r>
      <w:r>
        <w:t xml:space="preserve"> (</w:t>
      </w:r>
      <w:r>
        <w:t>Renew</w:t>
      </w:r>
      <w:r>
        <w:t xml:space="preserve">), </w:t>
      </w:r>
      <w:r>
        <w:rPr>
          <w:rStyle w:val="Bold"/>
        </w:rPr>
        <w:t>Marie-Pierre Vedrenne</w:t>
      </w:r>
      <w:r>
        <w:t xml:space="preserve"> (</w:t>
      </w:r>
      <w:r>
        <w:t>Renew</w:t>
      </w:r>
      <w:r>
        <w:t xml:space="preserve">), </w:t>
      </w:r>
      <w:r>
        <w:rPr>
          <w:rStyle w:val="Bold"/>
        </w:rPr>
        <w:t>Christophe Grudler</w:t>
      </w:r>
      <w:r>
        <w:t xml:space="preserve"> (</w:t>
      </w:r>
      <w:r>
        <w:t>Renew</w:t>
      </w:r>
      <w:r>
        <w:t xml:space="preserve">), </w:t>
      </w:r>
      <w:r>
        <w:rPr>
          <w:rStyle w:val="Bold"/>
        </w:rPr>
        <w:t>Chrysoula Zacharopoulou</w:t>
      </w:r>
      <w:r>
        <w:t xml:space="preserve"> (</w:t>
      </w:r>
      <w:r>
        <w:t>Renew</w:t>
      </w:r>
      <w:r>
        <w:t xml:space="preserve">), </w:t>
      </w:r>
      <w:r>
        <w:rPr>
          <w:rStyle w:val="Bold"/>
        </w:rPr>
        <w:t>Pierre Karleskind</w:t>
      </w:r>
      <w:r>
        <w:t xml:space="preserve"> (</w:t>
      </w:r>
      <w:r>
        <w:t>Renew</w:t>
      </w:r>
      <w:r>
        <w:t xml:space="preserve">), </w:t>
      </w:r>
      <w:r>
        <w:rPr>
          <w:rStyle w:val="Bold"/>
        </w:rPr>
        <w:t>Stéphane Bijoux</w:t>
      </w:r>
      <w:r>
        <w:t xml:space="preserve"> (</w:t>
      </w:r>
      <w:r>
        <w:t>Renew</w:t>
      </w:r>
      <w:r>
        <w:t xml:space="preserve">), </w:t>
      </w:r>
      <w:r>
        <w:rPr>
          <w:rStyle w:val="Bold"/>
        </w:rPr>
        <w:t>Laurence Farreng</w:t>
      </w:r>
      <w:r>
        <w:t xml:space="preserve"> (</w:t>
      </w:r>
      <w:r>
        <w:t>Renew</w:t>
      </w:r>
      <w:r>
        <w:t xml:space="preserve">), </w:t>
      </w:r>
      <w:r>
        <w:rPr>
          <w:rStyle w:val="Bold"/>
        </w:rPr>
        <w:t>Sylvie Brunet</w:t>
      </w:r>
      <w:r>
        <w:t xml:space="preserve"> (</w:t>
      </w:r>
      <w:r>
        <w:t>Renew</w:t>
      </w:r>
      <w:r>
        <w:t xml:space="preserve">), </w:t>
      </w:r>
      <w:r>
        <w:rPr>
          <w:rStyle w:val="Bold"/>
        </w:rPr>
        <w:t>Pascal Canfin</w:t>
      </w:r>
      <w:r>
        <w:t xml:space="preserve"> (</w:t>
      </w:r>
      <w:r>
        <w:t>Renew</w:t>
      </w:r>
      <w:r>
        <w:t xml:space="preserve">), </w:t>
      </w:r>
      <w:r>
        <w:rPr>
          <w:rStyle w:val="Bold"/>
        </w:rPr>
        <w:t>Stéphane Séjourné</w:t>
      </w:r>
      <w:r>
        <w:t xml:space="preserve"> (</w:t>
      </w:r>
      <w:r>
        <w:t>Renew</w:t>
      </w:r>
      <w:r>
        <w:t>)</w:t>
      </w:r>
    </w:p>
    <w:p>
      <w:pPr>
        <w:pStyle w:val="Subject"/>
      </w:pPr>
      <w:r>
        <w:t>Objet</w:t>
      </w:r>
      <w:r>
        <w:t>:</w:t>
      </w:r>
      <w:r>
        <w:tab/>
      </w:r>
      <w:r>
        <w:t>Coordination des mesures de déconfinement</w:t>
      </w:r>
    </w:p>
    <w:p>
      <w:pPr>
        <w:pStyle w:val="Body"/>
      </w:pPr>
      <w:r>
        <w:t>La crise actuelle engendre des défis de taille en matière de santé publique, d’économie et de société. Il est essentiel de les relever de manière coordonnée. Les États membres devraient commencer à lever progressivement leurs mesures de confinement dans le but d’amorcer la phase de reprise tout en contenant la propagation du virus. La Commission a adopté une feuille de route européenne. Celle-ci définit des principes communs ainsi que les prochaines étapes, avec notamment une approche graduelle concernant l’ouverture des frontières intérieures et extérieures pour permettre la circulation des travailleurs et des biens essentiels. Cela étant, un certain nombre de travailleurs transfrontaliers ont rencontré divers obstacles, parmi lesquels le manque d’informations claires sur les critères de franchissement des frontières, la discrimination fondée sur la nationalité et des encombrements aux points de contrôle des frontières.</w:t>
      </w:r>
    </w:p>
    <w:p>
      <w:pPr>
        <w:pStyle w:val="itemList"/>
      </w:pPr>
      <w:r>
        <w:t>1.</w:t>
      </w:r>
      <w:r>
        <w:tab/>
      </w:r>
      <w:r>
        <w:t>La Commission contrôle-t-elle les mesures nationales de déconfinement et le respect des critères par les États membres?</w:t>
      </w:r>
    </w:p>
    <w:p>
      <w:pPr>
        <w:pStyle w:val="itemList"/>
      </w:pPr>
      <w:r>
        <w:t>2.</w:t>
      </w:r>
      <w:r>
        <w:tab/>
      </w:r>
      <w:r>
        <w:t>Comment entend-elle coordonner ces différentes mesures afin d’alléger la pression sur les systèmes de santé, d’assurer le bon fonctionnement du marché unique et de l’espace Schengen et de respecter la liberté de circulation dans l’Union européenne, en particulier pour les travailleurs transfrontaliers?</w:t>
      </w:r>
    </w:p>
    <w:p>
      <w:pPr>
        <w:pStyle w:val="itemList"/>
      </w:pPr>
      <w:r>
        <w:t>3.</w:t>
      </w:r>
      <w:r>
        <w:tab/>
      </w:r>
      <w:r>
        <w:t>Comment compte-t-elle garantir aux résidents de l’Union européenne qu’ils ne seront pas mis en quarantaine pendant 28 jours (14 + 14) en raison de l’absence d’une approche et d’une gestion coordonnées des frontières intérieures et extérieures de l’Union?</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PE651.591v01-00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PE651.591v01-00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PE651.591v01-00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prioritaire avec demande de réponse écrite</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20200514-104828-233861-268136</vt:lpwstr>
  </property>
</Properties>
</file>