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1B4E91" w14:paraId="2C0B48DC" w14:textId="77777777" w:rsidTr="00C85D0F">
        <w:trPr>
          <w:trHeight w:hRule="exact" w:val="1418"/>
        </w:trPr>
        <w:tc>
          <w:tcPr>
            <w:tcW w:w="6804" w:type="dxa"/>
            <w:shd w:val="clear" w:color="auto" w:fill="auto"/>
            <w:vAlign w:val="center"/>
          </w:tcPr>
          <w:p w14:paraId="140AB168" w14:textId="77777777" w:rsidR="00CD0C25" w:rsidRPr="001B4E91" w:rsidRDefault="003637A6" w:rsidP="00C85D0F">
            <w:pPr>
              <w:pStyle w:val="EPName"/>
            </w:pPr>
            <w:bookmarkStart w:id="0" w:name="_GoBack"/>
            <w:bookmarkEnd w:id="0"/>
            <w:r>
              <w:t>Parlement européen</w:t>
            </w:r>
          </w:p>
          <w:p w14:paraId="7944A803" w14:textId="77777777" w:rsidR="00CD0C25" w:rsidRPr="001B4E91" w:rsidRDefault="00830E96" w:rsidP="00830E96">
            <w:pPr>
              <w:pStyle w:val="EPTerm"/>
            </w:pPr>
            <w:r>
              <w:t>2024-2029</w:t>
            </w:r>
          </w:p>
        </w:tc>
        <w:tc>
          <w:tcPr>
            <w:tcW w:w="2268" w:type="dxa"/>
            <w:shd w:val="clear" w:color="auto" w:fill="auto"/>
          </w:tcPr>
          <w:p w14:paraId="59EE74FF" w14:textId="77777777" w:rsidR="00CD0C25" w:rsidRPr="001B4E91" w:rsidRDefault="00CD0C25" w:rsidP="00C85D0F">
            <w:pPr>
              <w:pStyle w:val="EPLogo"/>
            </w:pPr>
            <w:r w:rsidRPr="001B4E91">
              <w:rPr>
                <w:noProof/>
                <w:lang w:eastAsia="fr-FR"/>
              </w:rPr>
              <w:drawing>
                <wp:inline distT="0" distB="0" distL="0" distR="0" wp14:anchorId="263AA9CE" wp14:editId="339100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6DAD1" w14:textId="77777777" w:rsidR="00FF0919" w:rsidRPr="001B4E91" w:rsidRDefault="00FF0919" w:rsidP="00FF0919">
      <w:pPr>
        <w:pStyle w:val="LineTop"/>
      </w:pPr>
    </w:p>
    <w:p w14:paraId="643554EC" w14:textId="77777777" w:rsidR="00FF0919" w:rsidRPr="001B4E91" w:rsidRDefault="003637A6" w:rsidP="00FF0919">
      <w:pPr>
        <w:pStyle w:val="EPBody"/>
      </w:pPr>
      <w:r>
        <w:t>Document de séance</w:t>
      </w:r>
    </w:p>
    <w:p w14:paraId="6D07C922" w14:textId="77777777" w:rsidR="00752855" w:rsidRPr="001B4E91" w:rsidRDefault="00752855" w:rsidP="00752855">
      <w:pPr>
        <w:pStyle w:val="LineBottom"/>
      </w:pPr>
    </w:p>
    <w:p w14:paraId="5EBC10AA" w14:textId="77777777" w:rsidR="007D35C5" w:rsidRPr="001B4E91" w:rsidRDefault="007D35C5" w:rsidP="007D35C5"/>
    <w:p w14:paraId="6FD83893" w14:textId="77777777" w:rsidR="009D33CF" w:rsidRPr="001B4E91" w:rsidRDefault="00335275" w:rsidP="00A429A0">
      <w:pPr>
        <w:pStyle w:val="CoverReferenceRC"/>
        <w:tabs>
          <w:tab w:val="clear" w:pos="6804"/>
          <w:tab w:val="left" w:pos="6521"/>
        </w:tabs>
      </w:pPr>
      <w:r>
        <w:rPr>
          <w:rStyle w:val="HideTWBExt"/>
          <w:b w:val="0"/>
        </w:rPr>
        <w:t>&lt;RepeatBlock-NoDocSe&gt;</w:t>
      </w:r>
      <w:r>
        <w:tab/>
      </w:r>
      <w:r>
        <w:rPr>
          <w:rStyle w:val="HideTWBExt"/>
          <w:b w:val="0"/>
        </w:rPr>
        <w:t>&lt;NoDocSe&gt;</w:t>
      </w:r>
      <w:r>
        <w:t>B10</w:t>
      </w:r>
      <w:r>
        <w:noBreakHyphen/>
        <w:t>0328/2025</w:t>
      </w:r>
      <w:r>
        <w:rPr>
          <w:rStyle w:val="HideTWBExt"/>
          <w:b w:val="0"/>
        </w:rPr>
        <w:t>&lt;/NoDocSe&gt;</w:t>
      </w:r>
      <w:r>
        <w:t xml:space="preserve"> } </w:t>
      </w:r>
    </w:p>
    <w:p w14:paraId="54FF520B" w14:textId="77777777" w:rsidR="00830E96" w:rsidRPr="001B4E91" w:rsidRDefault="00830E96" w:rsidP="00830E96">
      <w:pPr>
        <w:pStyle w:val="CoverReferenceRC"/>
        <w:tabs>
          <w:tab w:val="clear" w:pos="6804"/>
          <w:tab w:val="left" w:pos="6521"/>
        </w:tabs>
      </w:pPr>
      <w:r>
        <w:tab/>
      </w:r>
      <w:r>
        <w:rPr>
          <w:rStyle w:val="HideTWBExt"/>
          <w:b w:val="0"/>
        </w:rPr>
        <w:t>&lt;NoDocSe&gt;</w:t>
      </w:r>
      <w:r>
        <w:t>B10</w:t>
      </w:r>
      <w:r>
        <w:noBreakHyphen/>
        <w:t>0333/2025</w:t>
      </w:r>
      <w:r>
        <w:rPr>
          <w:rStyle w:val="HideTWBExt"/>
          <w:b w:val="0"/>
        </w:rPr>
        <w:t>&lt;/NoDocSe&gt;</w:t>
      </w:r>
      <w:r>
        <w:t xml:space="preserve"> } </w:t>
      </w:r>
    </w:p>
    <w:p w14:paraId="61FB4689" w14:textId="77777777" w:rsidR="00830E96" w:rsidRPr="001B4E91" w:rsidRDefault="00830E96" w:rsidP="00830E96">
      <w:pPr>
        <w:pStyle w:val="CoverReferenceRC"/>
        <w:tabs>
          <w:tab w:val="clear" w:pos="6804"/>
          <w:tab w:val="left" w:pos="6521"/>
        </w:tabs>
      </w:pPr>
      <w:r>
        <w:tab/>
      </w:r>
      <w:r>
        <w:rPr>
          <w:rStyle w:val="HideTWBExt"/>
          <w:b w:val="0"/>
        </w:rPr>
        <w:t>&lt;NoDocSe&gt;</w:t>
      </w:r>
      <w:r>
        <w:t>B10</w:t>
      </w:r>
      <w:r>
        <w:noBreakHyphen/>
        <w:t>0336/2025</w:t>
      </w:r>
      <w:r>
        <w:rPr>
          <w:rStyle w:val="HideTWBExt"/>
          <w:b w:val="0"/>
        </w:rPr>
        <w:t>&lt;/NoDocSe&gt;</w:t>
      </w:r>
      <w:r>
        <w:t xml:space="preserve"> } </w:t>
      </w:r>
    </w:p>
    <w:p w14:paraId="7FCDEE1A" w14:textId="77777777" w:rsidR="00830E96" w:rsidRPr="001B4E91" w:rsidRDefault="00830E96" w:rsidP="00830E96">
      <w:pPr>
        <w:pStyle w:val="CoverReferenceRC"/>
        <w:tabs>
          <w:tab w:val="clear" w:pos="6804"/>
          <w:tab w:val="left" w:pos="6521"/>
        </w:tabs>
      </w:pPr>
      <w:r>
        <w:tab/>
      </w:r>
      <w:r>
        <w:rPr>
          <w:rStyle w:val="HideTWBExt"/>
          <w:b w:val="0"/>
        </w:rPr>
        <w:t>&lt;NoDocSe&gt;</w:t>
      </w:r>
      <w:r>
        <w:t>B10</w:t>
      </w:r>
      <w:r>
        <w:noBreakHyphen/>
        <w:t>0340/2025</w:t>
      </w:r>
      <w:r>
        <w:rPr>
          <w:rStyle w:val="HideTWBExt"/>
          <w:b w:val="0"/>
        </w:rPr>
        <w:t>&lt;/NoDocSe&gt;</w:t>
      </w:r>
      <w:r>
        <w:t xml:space="preserve"> } </w:t>
      </w:r>
    </w:p>
    <w:p w14:paraId="1A3450B6" w14:textId="77777777" w:rsidR="009D33CF" w:rsidRPr="001B4E91" w:rsidRDefault="009D33CF" w:rsidP="00A429A0">
      <w:pPr>
        <w:pStyle w:val="CoverReferenceRC"/>
        <w:tabs>
          <w:tab w:val="clear" w:pos="6804"/>
          <w:tab w:val="left" w:pos="6521"/>
        </w:tabs>
      </w:pPr>
      <w:r>
        <w:tab/>
      </w:r>
      <w:r>
        <w:rPr>
          <w:rStyle w:val="HideTWBExt"/>
          <w:b w:val="0"/>
        </w:rPr>
        <w:t>&lt;NoDocSe&gt;</w:t>
      </w:r>
      <w:r>
        <w:t>B10</w:t>
      </w:r>
      <w:r>
        <w:noBreakHyphen/>
        <w:t>0341/2025</w:t>
      </w:r>
      <w:r>
        <w:rPr>
          <w:rStyle w:val="HideTWBExt"/>
          <w:b w:val="0"/>
        </w:rPr>
        <w:t>&lt;/NoDocSe&gt;&lt;/RepeatBlock-NoDocSe&gt;</w:t>
      </w:r>
      <w:r>
        <w:t xml:space="preserve"> } RC1</w:t>
      </w:r>
    </w:p>
    <w:p w14:paraId="640913EE" w14:textId="77777777" w:rsidR="004F500E" w:rsidRPr="001B4E91" w:rsidRDefault="004F500E" w:rsidP="00F849BF">
      <w:pPr>
        <w:pStyle w:val="CoverDate"/>
      </w:pPr>
      <w:r>
        <w:rPr>
          <w:rStyle w:val="HideTWBExt"/>
        </w:rPr>
        <w:t>&lt;Date&gt;</w:t>
      </w:r>
      <w:r>
        <w:rPr>
          <w:rStyle w:val="HideTWBInt"/>
        </w:rPr>
        <w:t>{09/07/2025}</w:t>
      </w:r>
      <w:r>
        <w:t>9.7.2025</w:t>
      </w:r>
      <w:r>
        <w:rPr>
          <w:rStyle w:val="HideTWBExt"/>
        </w:rPr>
        <w:t>&lt;/Date&gt;</w:t>
      </w:r>
    </w:p>
    <w:p w14:paraId="4B4E8C0B" w14:textId="77777777" w:rsidR="009D33CF" w:rsidRPr="001B4E91" w:rsidRDefault="009D33CF">
      <w:pPr>
        <w:pStyle w:val="CoverDocType24a"/>
      </w:pPr>
      <w:r>
        <w:rPr>
          <w:rStyle w:val="HideTWBExt"/>
          <w:b w:val="0"/>
        </w:rPr>
        <w:t>&lt;TitreType&gt;</w:t>
      </w:r>
      <w:r>
        <w:t>PROPOSITION DE RÉSOLUTION COMMUNE</w:t>
      </w:r>
      <w:r>
        <w:rPr>
          <w:rStyle w:val="HideTWBExt"/>
          <w:b w:val="0"/>
        </w:rPr>
        <w:t>&lt;/TitreType&gt;</w:t>
      </w:r>
    </w:p>
    <w:p w14:paraId="1F5F6222" w14:textId="77777777" w:rsidR="009D33CF" w:rsidRPr="001B4E91" w:rsidRDefault="009D33CF">
      <w:pPr>
        <w:pStyle w:val="CoverNormal12a"/>
      </w:pPr>
      <w:r>
        <w:rPr>
          <w:rStyle w:val="HideTWBExt"/>
        </w:rPr>
        <w:t>&lt;TitreRecueil&gt;</w:t>
      </w:r>
      <w:r>
        <w:t>déposée conformément à l’article 150, paragraphe 5, et à l’article 136, paragraphe 4, du règlement intérieur</w:t>
      </w:r>
      <w:r>
        <w:rPr>
          <w:rStyle w:val="HideTWBExt"/>
        </w:rPr>
        <w:t>&lt;/TitreRecueil&gt;</w:t>
      </w:r>
    </w:p>
    <w:p w14:paraId="2944678D" w14:textId="77777777" w:rsidR="00747149" w:rsidRPr="001B4E91" w:rsidRDefault="00B15782" w:rsidP="007E7F10">
      <w:pPr>
        <w:pStyle w:val="CoverNormal"/>
      </w:pPr>
      <w:r>
        <w:rPr>
          <w:rStyle w:val="HideTWBExt"/>
        </w:rPr>
        <w:t>&lt;Replacing&gt;</w:t>
      </w:r>
      <w:r>
        <w:t>en remplacement des propositions de résolution suivantes:</w:t>
      </w:r>
      <w:r>
        <w:rPr>
          <w:rStyle w:val="HideTWBExt"/>
        </w:rPr>
        <w:t>&lt;/Replacing&gt;</w:t>
      </w:r>
    </w:p>
    <w:p w14:paraId="404564B7" w14:textId="77777777" w:rsidR="00747149" w:rsidRPr="001F478E" w:rsidRDefault="00B15782" w:rsidP="007E7F10">
      <w:pPr>
        <w:pStyle w:val="CoverNormal"/>
        <w:rPr>
          <w:lang w:val="en-GB"/>
        </w:rPr>
      </w:pPr>
      <w:r w:rsidRPr="001F478E">
        <w:rPr>
          <w:rStyle w:val="HideTWBExt"/>
          <w:lang w:val="en-GB"/>
        </w:rPr>
        <w:t>&lt;TablingGroups&gt;</w:t>
      </w:r>
      <w:r w:rsidRPr="001F478E">
        <w:rPr>
          <w:lang w:val="en-GB"/>
        </w:rPr>
        <w:t>B10</w:t>
      </w:r>
      <w:r w:rsidRPr="001F478E">
        <w:rPr>
          <w:lang w:val="en-GB"/>
        </w:rPr>
        <w:noBreakHyphen/>
        <w:t>0328/2025 (Verts/ALE)</w:t>
      </w:r>
    </w:p>
    <w:p w14:paraId="413587D0" w14:textId="77777777" w:rsidR="00830E96" w:rsidRPr="001F478E" w:rsidRDefault="00830E96" w:rsidP="00830E96">
      <w:pPr>
        <w:pStyle w:val="CoverNormal"/>
        <w:rPr>
          <w:lang w:val="en-GB"/>
        </w:rPr>
      </w:pPr>
      <w:r w:rsidRPr="001F478E">
        <w:rPr>
          <w:lang w:val="en-GB"/>
        </w:rPr>
        <w:t>B10</w:t>
      </w:r>
      <w:r w:rsidRPr="001F478E">
        <w:rPr>
          <w:lang w:val="en-GB"/>
        </w:rPr>
        <w:noBreakHyphen/>
        <w:t>0333/2025 (Renew)</w:t>
      </w:r>
    </w:p>
    <w:p w14:paraId="3DA80D68" w14:textId="77777777" w:rsidR="00830E96" w:rsidRPr="001F478E" w:rsidRDefault="00830E96" w:rsidP="00830E96">
      <w:pPr>
        <w:pStyle w:val="CoverNormal"/>
        <w:rPr>
          <w:lang w:val="en-GB"/>
        </w:rPr>
      </w:pPr>
      <w:r w:rsidRPr="001F478E">
        <w:rPr>
          <w:lang w:val="en-GB"/>
        </w:rPr>
        <w:t>B10</w:t>
      </w:r>
      <w:r w:rsidRPr="001F478E">
        <w:rPr>
          <w:lang w:val="en-GB"/>
        </w:rPr>
        <w:noBreakHyphen/>
        <w:t>0336/2025 (S&amp;D)</w:t>
      </w:r>
    </w:p>
    <w:p w14:paraId="73171643" w14:textId="77777777" w:rsidR="00830E96" w:rsidRPr="001B4E91" w:rsidRDefault="00830E96" w:rsidP="00830E96">
      <w:pPr>
        <w:pStyle w:val="CoverNormal"/>
      </w:pPr>
      <w:r>
        <w:t>B10</w:t>
      </w:r>
      <w:r>
        <w:noBreakHyphen/>
        <w:t>0340/2025 (PPE)</w:t>
      </w:r>
    </w:p>
    <w:p w14:paraId="57BDED1E" w14:textId="77777777" w:rsidR="00747149" w:rsidRPr="001B4E91" w:rsidRDefault="00830E96" w:rsidP="00747149">
      <w:pPr>
        <w:pStyle w:val="CoverNormal12a"/>
      </w:pPr>
      <w:r>
        <w:t>B10</w:t>
      </w:r>
      <w:r>
        <w:noBreakHyphen/>
        <w:t>0341/2025 (ECR)</w:t>
      </w:r>
      <w:r>
        <w:rPr>
          <w:rStyle w:val="HideTWBExt"/>
        </w:rPr>
        <w:t>&lt;/TablingGroups&gt;</w:t>
      </w:r>
    </w:p>
    <w:p w14:paraId="2C3E7D94" w14:textId="77777777" w:rsidR="00747149" w:rsidRPr="001B4E91" w:rsidRDefault="00747149" w:rsidP="007E7F10">
      <w:pPr>
        <w:pStyle w:val="CoverNormal"/>
      </w:pPr>
      <w:r>
        <w:rPr>
          <w:rStyle w:val="HideTWBExt"/>
        </w:rPr>
        <w:lastRenderedPageBreak/>
        <w:t>&lt;Titre&gt;</w:t>
      </w:r>
      <w:r>
        <w:t>sur le cas de Ryan Cornelius à Dubaï</w:t>
      </w:r>
      <w:r>
        <w:rPr>
          <w:rStyle w:val="HideTWBExt"/>
        </w:rPr>
        <w:t>&lt;/Titre&gt;</w:t>
      </w:r>
    </w:p>
    <w:p w14:paraId="74645CE5" w14:textId="77777777" w:rsidR="00747149" w:rsidRPr="001B4E91" w:rsidRDefault="00747149" w:rsidP="00747149">
      <w:pPr>
        <w:pStyle w:val="CoverNormal24a"/>
      </w:pPr>
      <w:r>
        <w:rPr>
          <w:rStyle w:val="HideTWBExt"/>
        </w:rPr>
        <w:t>&lt;DocRef&gt;</w:t>
      </w:r>
      <w:r>
        <w:t>(2025/2796(RSP))</w:t>
      </w:r>
      <w:r>
        <w:rPr>
          <w:rStyle w:val="HideTWBExt"/>
        </w:rPr>
        <w:t>&lt;/DocRef&gt;</w:t>
      </w:r>
    </w:p>
    <w:p w14:paraId="494CBDFE" w14:textId="77777777" w:rsidR="00747149" w:rsidRPr="001B4E91" w:rsidRDefault="00747149" w:rsidP="00747149">
      <w:pPr>
        <w:pStyle w:val="CoverBold"/>
      </w:pPr>
      <w:r>
        <w:rPr>
          <w:rStyle w:val="HideTWBExt"/>
          <w:b w:val="0"/>
        </w:rPr>
        <w:t>&lt;RepeatBlock-By&gt;&lt;Depute&gt;</w:t>
      </w:r>
      <w:r>
        <w:t>Sebastião Bugalho, Seán Kelly, Tomáš Zdechovský, Ingeborg Ter Laak, Isabel Wiseler</w:t>
      </w:r>
      <w:r>
        <w:noBreakHyphen/>
        <w:t>Lima, Tomas Tobé, Wouter Beke, Davor Ivo Stier, Łukasz Kohut, Mirosława Nykiel, Michał Wawrykiewicz, Inese Vaidere</w:t>
      </w:r>
      <w:r>
        <w:rPr>
          <w:rStyle w:val="HideTWBExt"/>
          <w:b w:val="0"/>
        </w:rPr>
        <w:t>&lt;/Depute&gt;</w:t>
      </w:r>
    </w:p>
    <w:p w14:paraId="20219C68" w14:textId="77777777" w:rsidR="00747149" w:rsidRPr="001B4E91" w:rsidRDefault="00747149" w:rsidP="007E7F10">
      <w:pPr>
        <w:pStyle w:val="CoverNormal"/>
      </w:pPr>
      <w:r>
        <w:rPr>
          <w:rStyle w:val="HideTWBExt"/>
        </w:rPr>
        <w:t>&lt;Commission&gt;</w:t>
      </w:r>
      <w:r>
        <w:rPr>
          <w:rStyle w:val="HideTWBInt"/>
        </w:rPr>
        <w:t>{PPE}</w:t>
      </w:r>
      <w:r>
        <w:t>au nom du groupe PPE</w:t>
      </w:r>
      <w:r>
        <w:rPr>
          <w:rStyle w:val="HideTWBExt"/>
        </w:rPr>
        <w:t>&lt;/Commission&gt;</w:t>
      </w:r>
    </w:p>
    <w:p w14:paraId="447A012C" w14:textId="0EBA36BF" w:rsidR="00830E96" w:rsidRPr="001F478E" w:rsidRDefault="00830E96" w:rsidP="00830E96">
      <w:pPr>
        <w:pStyle w:val="CoverBold"/>
        <w:rPr>
          <w:lang w:val="pt-PT"/>
        </w:rPr>
      </w:pPr>
      <w:r w:rsidRPr="001F478E">
        <w:rPr>
          <w:rStyle w:val="HideTWBExt"/>
          <w:b w:val="0"/>
          <w:lang w:val="pt-PT"/>
        </w:rPr>
        <w:t>&lt;Depute&gt;</w:t>
      </w:r>
      <w:r w:rsidRPr="001F478E">
        <w:rPr>
          <w:lang w:val="pt-PT"/>
        </w:rPr>
        <w:t>Yannis Maniatis, Francisco Assis, Aodhán Ó Ríordáin</w:t>
      </w:r>
      <w:r w:rsidRPr="001F478E">
        <w:rPr>
          <w:rStyle w:val="HideTWBExt"/>
          <w:b w:val="0"/>
          <w:lang w:val="pt-PT"/>
        </w:rPr>
        <w:t>&lt;/Depute&gt;</w:t>
      </w:r>
    </w:p>
    <w:p w14:paraId="178BC217" w14:textId="77777777" w:rsidR="00830E96" w:rsidRPr="001B4E91" w:rsidRDefault="00830E96" w:rsidP="00830E96">
      <w:pPr>
        <w:pStyle w:val="CoverNormal"/>
      </w:pPr>
      <w:r>
        <w:rPr>
          <w:rStyle w:val="HideTWBExt"/>
        </w:rPr>
        <w:t>&lt;Commission&gt;</w:t>
      </w:r>
      <w:r>
        <w:rPr>
          <w:rStyle w:val="HideTWBInt"/>
        </w:rPr>
        <w:t>{S&amp;D}</w:t>
      </w:r>
      <w:r>
        <w:t>au nom du groupe S&amp;D</w:t>
      </w:r>
      <w:r>
        <w:rPr>
          <w:rStyle w:val="HideTWBExt"/>
        </w:rPr>
        <w:t>&lt;/Commission&gt;</w:t>
      </w:r>
    </w:p>
    <w:p w14:paraId="67A19C4F" w14:textId="77777777" w:rsidR="00830E96" w:rsidRPr="001B4E91" w:rsidRDefault="00830E96" w:rsidP="00830E96">
      <w:pPr>
        <w:pStyle w:val="CoverBold"/>
      </w:pPr>
      <w:r>
        <w:rPr>
          <w:rStyle w:val="HideTWBExt"/>
          <w:b w:val="0"/>
        </w:rPr>
        <w:t>&lt;Depute&gt;</w:t>
      </w:r>
      <w:r>
        <w:t>Adam Bielan, Sebastian Tynkkynen, Bogdan Rzońca, Arkadiusz Mularczyk, Waldemar Tomaszewski, Marlena Maląg, Joachim Stanisław Brudziński</w:t>
      </w:r>
      <w:r>
        <w:rPr>
          <w:rStyle w:val="HideTWBExt"/>
          <w:b w:val="0"/>
        </w:rPr>
        <w:t>&lt;/Depute&gt;</w:t>
      </w:r>
    </w:p>
    <w:p w14:paraId="3DF66621" w14:textId="77777777" w:rsidR="00830E96" w:rsidRPr="001B4E91" w:rsidRDefault="00830E96" w:rsidP="00830E96">
      <w:pPr>
        <w:pStyle w:val="CoverNormal"/>
      </w:pPr>
      <w:r>
        <w:rPr>
          <w:rStyle w:val="HideTWBExt"/>
        </w:rPr>
        <w:t>&lt;Commission&gt;</w:t>
      </w:r>
      <w:r>
        <w:rPr>
          <w:rStyle w:val="HideTWBInt"/>
        </w:rPr>
        <w:t>{ECR}</w:t>
      </w:r>
      <w:r>
        <w:t>au nom du groupe ECR</w:t>
      </w:r>
      <w:r>
        <w:rPr>
          <w:rStyle w:val="HideTWBExt"/>
        </w:rPr>
        <w:t>&lt;/Commission&gt;</w:t>
      </w:r>
    </w:p>
    <w:p w14:paraId="30B8DB41" w14:textId="77777777" w:rsidR="00830E96" w:rsidRPr="001B4E91" w:rsidRDefault="00830E96" w:rsidP="00830E96">
      <w:pPr>
        <w:pStyle w:val="CoverBold"/>
      </w:pPr>
      <w:r>
        <w:rPr>
          <w:rStyle w:val="HideTWBExt"/>
          <w:b w:val="0"/>
        </w:rPr>
        <w:t>&lt;Depute&gt;</w:t>
      </w:r>
      <w:r>
        <w:t>Petras Auštrevičius, Malik Azmani, Dan Barna, Benoit Cassart, Engin Eroglu, Olivier Chastel, Karin Karlsbro, Ilhan Kyuchyuk, Hilde Vautmans, Lucia Yar</w:t>
      </w:r>
      <w:r>
        <w:rPr>
          <w:rStyle w:val="HideTWBExt"/>
          <w:b w:val="0"/>
        </w:rPr>
        <w:t>&lt;/Depute&gt;</w:t>
      </w:r>
    </w:p>
    <w:p w14:paraId="3EC0093B" w14:textId="77777777" w:rsidR="00830E96" w:rsidRPr="001B4E91" w:rsidRDefault="00830E96" w:rsidP="00830E96">
      <w:pPr>
        <w:pStyle w:val="CoverNormal"/>
      </w:pPr>
      <w:r>
        <w:rPr>
          <w:rStyle w:val="HideTWBExt"/>
        </w:rPr>
        <w:t>&lt;Commission&gt;</w:t>
      </w:r>
      <w:r>
        <w:rPr>
          <w:rStyle w:val="HideTWBInt"/>
        </w:rPr>
        <w:t>{Renew}</w:t>
      </w:r>
      <w:r>
        <w:t>au nom du groupe Renew</w:t>
      </w:r>
      <w:r>
        <w:rPr>
          <w:rStyle w:val="HideTWBExt"/>
        </w:rPr>
        <w:t>&lt;/Commission&gt;</w:t>
      </w:r>
    </w:p>
    <w:p w14:paraId="682EF43F" w14:textId="77777777" w:rsidR="00747149" w:rsidRPr="001B4E91" w:rsidRDefault="00747149" w:rsidP="00747149">
      <w:pPr>
        <w:pStyle w:val="CoverBold"/>
      </w:pPr>
      <w:r>
        <w:rPr>
          <w:rStyle w:val="HideTWBExt"/>
          <w:b w:val="0"/>
        </w:rPr>
        <w:t>&lt;Depute&gt;</w:t>
      </w:r>
      <w:r>
        <w:t>Villy Søvndal</w:t>
      </w:r>
      <w:r>
        <w:rPr>
          <w:rStyle w:val="HideTWBExt"/>
          <w:b w:val="0"/>
        </w:rPr>
        <w:t>&lt;/Depute&gt;</w:t>
      </w:r>
    </w:p>
    <w:p w14:paraId="6C5D1097" w14:textId="77777777" w:rsidR="00BB330A" w:rsidRPr="001B4E91" w:rsidRDefault="00747149" w:rsidP="007E7F10">
      <w:pPr>
        <w:pStyle w:val="CoverNormal"/>
      </w:pPr>
      <w:r>
        <w:rPr>
          <w:rStyle w:val="HideTWBExt"/>
        </w:rPr>
        <w:t>&lt;Commission&gt;</w:t>
      </w:r>
      <w:r>
        <w:rPr>
          <w:rStyle w:val="HideTWBInt"/>
        </w:rPr>
        <w:t>{Verts/ALE}</w:t>
      </w:r>
      <w:r>
        <w:t>au nom du groupe Verts/ALE</w:t>
      </w:r>
      <w:r>
        <w:rPr>
          <w:rStyle w:val="HideTWBExt"/>
        </w:rPr>
        <w:t>&lt;/Commission&gt;</w:t>
      </w:r>
    </w:p>
    <w:p w14:paraId="49526CC9" w14:textId="77777777" w:rsidR="00747149" w:rsidRPr="001B4E91" w:rsidRDefault="00747149" w:rsidP="007E7F10">
      <w:pPr>
        <w:pStyle w:val="CoverNormal"/>
      </w:pPr>
      <w:r>
        <w:rPr>
          <w:rStyle w:val="HideTWBExt"/>
        </w:rPr>
        <w:t>&lt;/RepeatBlock-By&gt;</w:t>
      </w:r>
    </w:p>
    <w:p w14:paraId="7A2445A4" w14:textId="77777777" w:rsidR="007F7251" w:rsidRPr="001B4E91" w:rsidRDefault="007F7251" w:rsidP="007F7251">
      <w:pPr>
        <w:pStyle w:val="CoverNormal24a"/>
      </w:pPr>
    </w:p>
    <w:p w14:paraId="5C9090A0" w14:textId="77777777" w:rsidR="00AB70B2" w:rsidRPr="001B4E91" w:rsidRDefault="009D33CF" w:rsidP="00AB70B2">
      <w:pPr>
        <w:pStyle w:val="NormalBold"/>
      </w:pPr>
      <w:r>
        <w:br w:type="page"/>
      </w:r>
      <w:r>
        <w:lastRenderedPageBreak/>
        <w:t>Résolution du Parlement européen sur le cas de Ryan Cornelius à Dubaï</w:t>
      </w:r>
    </w:p>
    <w:p w14:paraId="31092145" w14:textId="77777777" w:rsidR="00AB70B2" w:rsidRPr="001B4E91" w:rsidRDefault="003637A6" w:rsidP="00600326">
      <w:pPr>
        <w:pStyle w:val="NormalBold"/>
      </w:pPr>
      <w:r>
        <w:t>(2025/2796(RSP))</w:t>
      </w:r>
    </w:p>
    <w:p w14:paraId="464E110F" w14:textId="77777777" w:rsidR="00E95069" w:rsidRPr="001B4E91" w:rsidRDefault="00E95069" w:rsidP="00E95069">
      <w:pPr>
        <w:pStyle w:val="EPComma"/>
      </w:pPr>
      <w:r>
        <w:rPr>
          <w:i/>
        </w:rPr>
        <w:t>Le Parlement européen</w:t>
      </w:r>
      <w:r>
        <w:t>,</w:t>
      </w:r>
    </w:p>
    <w:p w14:paraId="3BF140BE" w14:textId="6BE68755" w:rsidR="00E95069" w:rsidRPr="001B4E91" w:rsidRDefault="00E95069" w:rsidP="00E95069">
      <w:pPr>
        <w:pStyle w:val="NormalHanging12a"/>
        <w:rPr>
          <w:shd w:val="clear" w:color="auto" w:fill="FFFFFF"/>
        </w:rPr>
      </w:pPr>
      <w:r>
        <w:t>–</w:t>
      </w:r>
      <w:r>
        <w:tab/>
        <w:t>vu l’avis nº 19/2022 du groupe de travail des Nations unies sur la détention arbitraire (UNWGAD),</w:t>
      </w:r>
    </w:p>
    <w:p w14:paraId="314DA020" w14:textId="77777777" w:rsidR="00E95069" w:rsidRPr="001B4E91" w:rsidRDefault="00E95069" w:rsidP="00E95069">
      <w:pPr>
        <w:pStyle w:val="NormalHanging12a"/>
        <w:rPr>
          <w:shd w:val="clear" w:color="auto" w:fill="FFFFFF"/>
        </w:rPr>
      </w:pPr>
      <w:r>
        <w:t>–</w:t>
      </w:r>
      <w:r>
        <w:tab/>
        <w:t>vu l’article 150, paragraphe 5, et l’article 136, paragraphe 4, de son règlement intérieur,</w:t>
      </w:r>
    </w:p>
    <w:p w14:paraId="0A04C312" w14:textId="77777777" w:rsidR="00E95069" w:rsidRPr="001B4E91" w:rsidRDefault="00E95069" w:rsidP="00E95069">
      <w:pPr>
        <w:pStyle w:val="NormalHanging12a"/>
      </w:pPr>
      <w:r>
        <w:t>A.</w:t>
      </w:r>
      <w:r>
        <w:tab/>
        <w:t>considérant que Ryan Cornelius, ressortissant britannique de 71 ans marié à une citoyenne de l’Union, est détenu arbitrairement aux Émirats arabes unis depuis 2008 après avoir été condamné pour fraude sur la base de fausses accusations en lien avec un prêt accordé par la Dubai Islamic Bank (DIB) pour un projet immobilier;</w:t>
      </w:r>
    </w:p>
    <w:p w14:paraId="73BC3C0A" w14:textId="39063F0C" w:rsidR="00E95069" w:rsidRPr="001B4E91" w:rsidRDefault="00E95069" w:rsidP="00E95069">
      <w:pPr>
        <w:pStyle w:val="NormalHanging12a"/>
      </w:pPr>
      <w:r>
        <w:t>B.</w:t>
      </w:r>
      <w:r>
        <w:tab/>
        <w:t>considérant qu’il a été initialement condamné à dix ans d’emprisonnement et que, juste avant sa libération prévue en 2018, sa peine a été prolongée de 20 ans en vertu de la loi nº 37 de 2009 de Dubaï, appliquée rétroactivement et en violation des normes juridiques internationales;</w:t>
      </w:r>
    </w:p>
    <w:p w14:paraId="175835CF" w14:textId="7FF3472E" w:rsidR="00E95069" w:rsidRPr="001B4E91" w:rsidRDefault="00E95069" w:rsidP="00E95069">
      <w:pPr>
        <w:pStyle w:val="NormalHanging12a"/>
      </w:pPr>
      <w:r>
        <w:t>C.</w:t>
      </w:r>
      <w:r>
        <w:tab/>
        <w:t>considérant que, selon les organisations de défense des droits de l’homme, le gouvernement des Émirats arabes unis a des antécédents préoccupants en matière de détention arbitraire, de procès inéquitables et d’allégations de torture;</w:t>
      </w:r>
    </w:p>
    <w:p w14:paraId="2E150883" w14:textId="04B45052" w:rsidR="00E95069" w:rsidRPr="001B4E91" w:rsidRDefault="00E95069" w:rsidP="00E95069">
      <w:pPr>
        <w:pStyle w:val="NormalHanging12a"/>
      </w:pPr>
      <w:r>
        <w:t>D.</w:t>
      </w:r>
      <w:r>
        <w:tab/>
        <w:t>considérant que, selon des auditeurs indépendants, il est prouvé que le bien immobilier confisqué par la DIB à Ryan Cornelius vaut plusieurs fois le montant de la dette contractée par ce dernier auprès de la banque;</w:t>
      </w:r>
    </w:p>
    <w:p w14:paraId="77F459E9" w14:textId="1034898F" w:rsidR="00E95069" w:rsidRPr="001B4E91" w:rsidRDefault="00E95069" w:rsidP="00E95069">
      <w:pPr>
        <w:pStyle w:val="NormalHanging12a"/>
        <w:rPr>
          <w:bCs/>
        </w:rPr>
      </w:pPr>
      <w:r>
        <w:t>E.</w:t>
      </w:r>
      <w:r>
        <w:tab/>
        <w:t>considérant que l’UNWGAD, invoquant l’absence de procès équitable, des aveux obtenus sous la contrainte, la détention en isolement, le déni de représentation juridique et la signature sous la contrainte de documents rédigés en arabe, a déclaré que sa détention constituait une violation du droit international;</w:t>
      </w:r>
    </w:p>
    <w:p w14:paraId="742A350E" w14:textId="4A8DEFB7" w:rsidR="00E95069" w:rsidRPr="001B4E91" w:rsidRDefault="00E95069" w:rsidP="00E95069">
      <w:pPr>
        <w:pStyle w:val="NormalHanging12a"/>
      </w:pPr>
      <w:r>
        <w:t>F.</w:t>
      </w:r>
      <w:r>
        <w:tab/>
        <w:t>considérant que Ryan Cornelius reste incarcéré dans des conditions inhumaines et que sa santé se détériore, sans qu’il n’ait accès à des soins de santé appropriés;</w:t>
      </w:r>
    </w:p>
    <w:p w14:paraId="12424C34" w14:textId="47C5BCDF" w:rsidR="00E95069" w:rsidRPr="001B4E91" w:rsidRDefault="00E95069" w:rsidP="00E95069">
      <w:pPr>
        <w:pStyle w:val="NormalHanging12a"/>
      </w:pPr>
      <w:r>
        <w:t>G.</w:t>
      </w:r>
      <w:r>
        <w:tab/>
        <w:t>considérant que la loi de Dubaï nº 37 de 2009 dispose, à l’article 7, paragraphe 1, que la personne condamnée (le débiteur) n’est pas passible d’une peine d’emprisonnement si elle est âgée de plus de 70 ans; que Ryan Cornelius a eu 70 ans en 2024 et qu’il convient, à ce titre, de lui accorder une exemption en vertu de cette loi;</w:t>
      </w:r>
    </w:p>
    <w:p w14:paraId="147232F2" w14:textId="000AB47A" w:rsidR="00E95069" w:rsidRPr="001B4E91" w:rsidRDefault="00E95069" w:rsidP="00E95069">
      <w:pPr>
        <w:pStyle w:val="NormalHanging12a"/>
      </w:pPr>
      <w:r>
        <w:t>1.</w:t>
      </w:r>
      <w:r>
        <w:tab/>
        <w:t>condamne la détention arbitraire et prolongée de Ryan Cornelius et demande sa libération immédiate et inconditionnelle, ainsi que celle de toutes les autres personnes détenues arbitrairement;</w:t>
      </w:r>
    </w:p>
    <w:p w14:paraId="7C192F66" w14:textId="1AB9F305" w:rsidR="00E95069" w:rsidRPr="001B4E91" w:rsidRDefault="00E95069" w:rsidP="00E95069">
      <w:pPr>
        <w:pStyle w:val="NormalHanging12a"/>
      </w:pPr>
      <w:r>
        <w:t>2.</w:t>
      </w:r>
      <w:r>
        <w:tab/>
        <w:t>exige qu’il puisse exercer son droit à une indemnisation et à d’autres réparations, conformément au droit international;</w:t>
      </w:r>
    </w:p>
    <w:p w14:paraId="6D3C52D0" w14:textId="6AACCDEC" w:rsidR="00E95069" w:rsidRPr="001B4E91" w:rsidRDefault="00E95069" w:rsidP="00E95069">
      <w:pPr>
        <w:pStyle w:val="NormalHanging12a"/>
      </w:pPr>
      <w:r>
        <w:t>3.</w:t>
      </w:r>
      <w:r>
        <w:tab/>
        <w:t>prie instamment les autorités de Dubaï de lui donner accès à un traitement et à des soins médicaux adéquats, conformément aux normes internationales en matière de traitement des prisonniers, et de garantir qu’une enquête indépendante puisse être menée sur sa détention arbitraire;</w:t>
      </w:r>
    </w:p>
    <w:p w14:paraId="3E41F205" w14:textId="1EF9385D" w:rsidR="00E95069" w:rsidRPr="001B4E91" w:rsidRDefault="00E95069" w:rsidP="00E95069">
      <w:pPr>
        <w:pStyle w:val="NormalHanging12a"/>
      </w:pPr>
      <w:r>
        <w:t>4.</w:t>
      </w:r>
      <w:r>
        <w:tab/>
        <w:t>dénonce l’application rétroactive de la loi nº 37 de 2009 et presse les Émirats arabes unis de garantir des procès équitables et d’abolir l’emprisonnement pour dette; constate que Ryan Cornelius reste incarcéré alors que les autorités ont saisi des biens évalués à plus du double de sa dette initiale;</w:t>
      </w:r>
    </w:p>
    <w:p w14:paraId="02EE786C" w14:textId="77777777" w:rsidR="00E95069" w:rsidRPr="001B4E91" w:rsidRDefault="00E95069" w:rsidP="00E95069">
      <w:pPr>
        <w:pStyle w:val="NormalHanging12a"/>
      </w:pPr>
      <w:r>
        <w:t>5.</w:t>
      </w:r>
      <w:r>
        <w:tab/>
        <w:t>exprime sa solidarité avec sa famille;</w:t>
      </w:r>
    </w:p>
    <w:p w14:paraId="118E691B" w14:textId="4C4A0C24" w:rsidR="00E95069" w:rsidRPr="001B4E91" w:rsidRDefault="00E95069" w:rsidP="00E95069">
      <w:pPr>
        <w:pStyle w:val="NormalHanging12a"/>
      </w:pPr>
      <w:r>
        <w:t>6.</w:t>
      </w:r>
      <w:r>
        <w:tab/>
        <w:t>invite le Royaume-Uni à prendre toutes les mesures nécessaires pour assurer la libération de Ryan Cornelius; prie instamment la VP/HR, la représentante spéciale de l’Union pour les droits de l’homme, les États membres et la délégation de l’Union aux Émirats arabes unis d’aborder son cas dans tous les échanges bilatéraux avec les Émirats arabes unis et de surveiller de près les conditions de sa détention;</w:t>
      </w:r>
    </w:p>
    <w:p w14:paraId="1F62E82F" w14:textId="311F19B6" w:rsidR="00E95069" w:rsidRPr="001B4E91" w:rsidRDefault="00E95069" w:rsidP="00E95069">
      <w:pPr>
        <w:pStyle w:val="NormalHanging12a"/>
      </w:pPr>
      <w:r>
        <w:t>7.</w:t>
      </w:r>
      <w:r>
        <w:tab/>
        <w:t>charge sa Présidente de transmettre la présente résolution à la Commission, au Conseil, à la VP/HR, à la représentante spéciale de l’Union européenne pour les droits de l’homme, aux États membres, et aux gouvernements du Royaume-Uni et des Émirats arabes unis.</w:t>
      </w:r>
    </w:p>
    <w:p w14:paraId="30722678" w14:textId="77777777" w:rsidR="001B3354" w:rsidRPr="001B4E91" w:rsidRDefault="001B3354" w:rsidP="00530503">
      <w:pPr>
        <w:widowControl/>
      </w:pPr>
    </w:p>
    <w:sectPr w:rsidR="001B3354" w:rsidRPr="001B4E91" w:rsidSect="00727F1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C73C7" w14:textId="77777777" w:rsidR="003637A6" w:rsidRPr="001B4E91" w:rsidRDefault="003637A6">
      <w:r w:rsidRPr="001B4E91">
        <w:separator/>
      </w:r>
    </w:p>
  </w:endnote>
  <w:endnote w:type="continuationSeparator" w:id="0">
    <w:p w14:paraId="2F5AB641" w14:textId="77777777" w:rsidR="003637A6" w:rsidRPr="001B4E91" w:rsidRDefault="003637A6">
      <w:r w:rsidRPr="001B4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D2FB8" w14:textId="0B411948" w:rsidR="00727F1F" w:rsidRPr="001B4E91" w:rsidRDefault="00727F1F" w:rsidP="00727F1F">
    <w:pPr>
      <w:pStyle w:val="EPFooterRC"/>
    </w:pPr>
    <w:r w:rsidRPr="001B4E91">
      <w:rPr>
        <w:rStyle w:val="HideTWBExt"/>
      </w:rPr>
      <w:t>&lt;PathFdR&gt;</w:t>
    </w:r>
    <w:r w:rsidRPr="001B4E91">
      <w:t>RC\1324928FR.docx</w:t>
    </w:r>
    <w:r w:rsidRPr="001B4E91">
      <w:rPr>
        <w:rStyle w:val="HideTWBExt"/>
      </w:rPr>
      <w:t>&lt;/PathFdR&gt;</w:t>
    </w:r>
    <w:r w:rsidRPr="001B4E91">
      <w:tab/>
    </w:r>
    <w:r w:rsidRPr="001B4E91">
      <w:fldChar w:fldCharType="begin"/>
    </w:r>
    <w:r w:rsidRPr="001B4E91">
      <w:instrText xml:space="preserve"> PAGE  \* MERGEFORMAT </w:instrText>
    </w:r>
    <w:r w:rsidRPr="001B4E91">
      <w:fldChar w:fldCharType="separate"/>
    </w:r>
    <w:r w:rsidR="001F478E">
      <w:rPr>
        <w:noProof/>
      </w:rPr>
      <w:t>2</w:t>
    </w:r>
    <w:r w:rsidRPr="001B4E91">
      <w:fldChar w:fldCharType="end"/>
    </w:r>
    <w:r w:rsidRPr="001B4E91">
      <w:t>/</w:t>
    </w:r>
    <w:r w:rsidR="001F478E">
      <w:fldChar w:fldCharType="begin"/>
    </w:r>
    <w:r w:rsidR="001F478E">
      <w:instrText xml:space="preserve"> NUMPAGES  \* MERGEFORMAT </w:instrText>
    </w:r>
    <w:r w:rsidR="001F478E">
      <w:fldChar w:fldCharType="separate"/>
    </w:r>
    <w:r w:rsidR="001F478E">
      <w:rPr>
        <w:noProof/>
      </w:rPr>
      <w:t>4</w:t>
    </w:r>
    <w:r w:rsidR="001F478E">
      <w:rPr>
        <w:noProof/>
      </w:rPr>
      <w:fldChar w:fldCharType="end"/>
    </w:r>
    <w:r w:rsidRPr="001B4E91">
      <w:tab/>
      <w:t>PE</w:t>
    </w:r>
    <w:r w:rsidRPr="001B4E91">
      <w:rPr>
        <w:rStyle w:val="HideTWBExt"/>
      </w:rPr>
      <w:t>&lt;NoPE&gt;</w:t>
    </w:r>
    <w:r w:rsidRPr="001B4E91">
      <w:t>774.024</w:t>
    </w:r>
    <w:r w:rsidRPr="001B4E91">
      <w:rPr>
        <w:rStyle w:val="HideTWBExt"/>
      </w:rPr>
      <w:t>&lt;/NoPE&gt;&lt;Version&gt;</w:t>
    </w:r>
    <w:r w:rsidRPr="001B4E91">
      <w:t>v01-00</w:t>
    </w:r>
    <w:r w:rsidRPr="001B4E91">
      <w:rPr>
        <w:rStyle w:val="HideTWBExt"/>
      </w:rPr>
      <w:t>&lt;/Version&gt;</w:t>
    </w:r>
    <w:r w:rsidRPr="001B4E91">
      <w:t xml:space="preserve"> }</w:t>
    </w:r>
  </w:p>
  <w:p w14:paraId="2A7FD433" w14:textId="77777777" w:rsidR="00727F1F" w:rsidRPr="001B4E91" w:rsidRDefault="00727F1F" w:rsidP="00727F1F">
    <w:pPr>
      <w:pStyle w:val="EPFooterRC"/>
    </w:pPr>
    <w:r w:rsidRPr="001B4E91">
      <w:tab/>
    </w:r>
    <w:r w:rsidRPr="001B4E91">
      <w:tab/>
      <w:t>PE</w:t>
    </w:r>
    <w:r w:rsidRPr="001B4E91">
      <w:rPr>
        <w:rStyle w:val="HideTWBExt"/>
      </w:rPr>
      <w:t>&lt;NoPE&gt;</w:t>
    </w:r>
    <w:r w:rsidRPr="001B4E91">
      <w:t>774.029</w:t>
    </w:r>
    <w:r w:rsidRPr="001B4E91">
      <w:rPr>
        <w:rStyle w:val="HideTWBExt"/>
      </w:rPr>
      <w:t>&lt;/NoPE&gt;&lt;Version&gt;</w:t>
    </w:r>
    <w:r w:rsidRPr="001B4E91">
      <w:t>v01-00</w:t>
    </w:r>
    <w:r w:rsidRPr="001B4E91">
      <w:rPr>
        <w:rStyle w:val="HideTWBExt"/>
      </w:rPr>
      <w:t>&lt;/Version&gt;</w:t>
    </w:r>
    <w:r w:rsidRPr="001B4E91">
      <w:t xml:space="preserve"> }</w:t>
    </w:r>
  </w:p>
  <w:p w14:paraId="631724DE"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774.032</w:t>
    </w:r>
    <w:r w:rsidRPr="001B4E91">
      <w:rPr>
        <w:rStyle w:val="HideTWBExt"/>
      </w:rPr>
      <w:t>&lt;/NoPE&gt;&lt;Version&gt;</w:t>
    </w:r>
    <w:r w:rsidRPr="001B4E91">
      <w:t>v01-00</w:t>
    </w:r>
    <w:r w:rsidRPr="001B4E91">
      <w:rPr>
        <w:rStyle w:val="HideTWBExt"/>
      </w:rPr>
      <w:t>&lt;/Version&gt;</w:t>
    </w:r>
    <w:r w:rsidRPr="001B4E91">
      <w:t xml:space="preserve"> }</w:t>
    </w:r>
  </w:p>
  <w:p w14:paraId="12A6507D"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774.036</w:t>
    </w:r>
    <w:r w:rsidRPr="001B4E91">
      <w:rPr>
        <w:rStyle w:val="HideTWBExt"/>
      </w:rPr>
      <w:t>&lt;/NoPE&gt;&lt;Version&gt;</w:t>
    </w:r>
    <w:r w:rsidRPr="001B4E91">
      <w:t>v01-00</w:t>
    </w:r>
    <w:r w:rsidRPr="001B4E91">
      <w:rPr>
        <w:rStyle w:val="HideTWBExt"/>
      </w:rPr>
      <w:t>&lt;/Version&gt;</w:t>
    </w:r>
    <w:r w:rsidRPr="001B4E91">
      <w:t xml:space="preserve"> }</w:t>
    </w:r>
  </w:p>
  <w:p w14:paraId="4266A1F4"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774.037</w:t>
    </w:r>
    <w:r w:rsidRPr="001B4E91">
      <w:rPr>
        <w:rStyle w:val="HideTWBExt"/>
      </w:rPr>
      <w:t>&lt;/NoPE&gt;&lt;Version&gt;</w:t>
    </w:r>
    <w:r w:rsidRPr="001B4E91">
      <w:t>v01-00</w:t>
    </w:r>
    <w:r w:rsidRPr="001B4E91">
      <w:rPr>
        <w:rStyle w:val="HideTWBExt"/>
      </w:rPr>
      <w:t>&lt;/Version&gt;</w:t>
    </w:r>
    <w:r w:rsidRPr="001B4E91">
      <w:t xml:space="preserve"> } RC1</w:t>
    </w:r>
  </w:p>
  <w:p w14:paraId="454FABB6" w14:textId="4CBC8418" w:rsidR="00626D73" w:rsidRPr="001B4E91" w:rsidRDefault="00727F1F" w:rsidP="00727F1F">
    <w:pPr>
      <w:pStyle w:val="EPFooter2"/>
    </w:pPr>
    <w:r w:rsidRPr="001B4E9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C5A4" w14:textId="31B71605" w:rsidR="00727F1F" w:rsidRPr="001B4E91" w:rsidRDefault="00727F1F" w:rsidP="00727F1F">
    <w:pPr>
      <w:pStyle w:val="EPFooterRC"/>
    </w:pPr>
    <w:r w:rsidRPr="001B4E91">
      <w:rPr>
        <w:rStyle w:val="HideTWBExt"/>
      </w:rPr>
      <w:t>&lt;PathFdR&gt;</w:t>
    </w:r>
    <w:r w:rsidRPr="001B4E91">
      <w:t>RC\1324928FR.docx</w:t>
    </w:r>
    <w:r w:rsidRPr="001B4E91">
      <w:rPr>
        <w:rStyle w:val="HideTWBExt"/>
      </w:rPr>
      <w:t>&lt;/PathFdR&gt;</w:t>
    </w:r>
    <w:r w:rsidRPr="001B4E91">
      <w:tab/>
    </w:r>
    <w:r w:rsidRPr="001B4E91">
      <w:fldChar w:fldCharType="begin"/>
    </w:r>
    <w:r w:rsidRPr="001B4E91">
      <w:instrText xml:space="preserve"> PAGE  \* MERGEFORMAT </w:instrText>
    </w:r>
    <w:r w:rsidRPr="001B4E91">
      <w:fldChar w:fldCharType="separate"/>
    </w:r>
    <w:r w:rsidR="001F478E">
      <w:rPr>
        <w:noProof/>
      </w:rPr>
      <w:t>4</w:t>
    </w:r>
    <w:r w:rsidRPr="001B4E91">
      <w:fldChar w:fldCharType="end"/>
    </w:r>
    <w:r w:rsidRPr="001B4E91">
      <w:t>/</w:t>
    </w:r>
    <w:r w:rsidR="001F478E">
      <w:fldChar w:fldCharType="begin"/>
    </w:r>
    <w:r w:rsidR="001F478E">
      <w:instrText xml:space="preserve"> NUMPAGES  \* MERGEFORMAT </w:instrText>
    </w:r>
    <w:r w:rsidR="001F478E">
      <w:fldChar w:fldCharType="separate"/>
    </w:r>
    <w:r w:rsidR="001F478E">
      <w:rPr>
        <w:noProof/>
      </w:rPr>
      <w:t>4</w:t>
    </w:r>
    <w:r w:rsidR="001F478E">
      <w:rPr>
        <w:noProof/>
      </w:rPr>
      <w:fldChar w:fldCharType="end"/>
    </w:r>
    <w:r w:rsidRPr="001B4E91">
      <w:tab/>
      <w:t>PE</w:t>
    </w:r>
    <w:r w:rsidRPr="001B4E91">
      <w:rPr>
        <w:rStyle w:val="HideTWBExt"/>
      </w:rPr>
      <w:t>&lt;NoPE&gt;</w:t>
    </w:r>
    <w:r w:rsidRPr="001B4E91">
      <w:t>774.024</w:t>
    </w:r>
    <w:r w:rsidRPr="001B4E91">
      <w:rPr>
        <w:rStyle w:val="HideTWBExt"/>
      </w:rPr>
      <w:t>&lt;/NoPE&gt;&lt;Version&gt;</w:t>
    </w:r>
    <w:r w:rsidRPr="001B4E91">
      <w:t>v01-00</w:t>
    </w:r>
    <w:r w:rsidRPr="001B4E91">
      <w:rPr>
        <w:rStyle w:val="HideTWBExt"/>
      </w:rPr>
      <w:t>&lt;/Version&gt;</w:t>
    </w:r>
    <w:r w:rsidRPr="001B4E91">
      <w:t xml:space="preserve"> }</w:t>
    </w:r>
  </w:p>
  <w:p w14:paraId="65B14189" w14:textId="77777777" w:rsidR="00727F1F" w:rsidRPr="001B4E91" w:rsidRDefault="00727F1F" w:rsidP="00727F1F">
    <w:pPr>
      <w:pStyle w:val="EPFooterRC"/>
    </w:pPr>
    <w:r w:rsidRPr="001B4E91">
      <w:tab/>
    </w:r>
    <w:r w:rsidRPr="001B4E91">
      <w:tab/>
      <w:t>PE</w:t>
    </w:r>
    <w:r w:rsidRPr="001B4E91">
      <w:rPr>
        <w:rStyle w:val="HideTWBExt"/>
      </w:rPr>
      <w:t>&lt;NoPE&gt;</w:t>
    </w:r>
    <w:r w:rsidRPr="001B4E91">
      <w:t>774.029</w:t>
    </w:r>
    <w:r w:rsidRPr="001B4E91">
      <w:rPr>
        <w:rStyle w:val="HideTWBExt"/>
      </w:rPr>
      <w:t>&lt;/NoPE&gt;&lt;Version&gt;</w:t>
    </w:r>
    <w:r w:rsidRPr="001B4E91">
      <w:t>v01-00</w:t>
    </w:r>
    <w:r w:rsidRPr="001B4E91">
      <w:rPr>
        <w:rStyle w:val="HideTWBExt"/>
      </w:rPr>
      <w:t>&lt;/Version&gt;</w:t>
    </w:r>
    <w:r w:rsidRPr="001B4E91">
      <w:t xml:space="preserve"> }</w:t>
    </w:r>
  </w:p>
  <w:p w14:paraId="23BD0FCE"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774.032</w:t>
    </w:r>
    <w:r w:rsidRPr="001B4E91">
      <w:rPr>
        <w:rStyle w:val="HideTWBExt"/>
      </w:rPr>
      <w:t>&lt;/NoPE&gt;&lt;Version&gt;</w:t>
    </w:r>
    <w:r w:rsidRPr="001B4E91">
      <w:t>v01-00</w:t>
    </w:r>
    <w:r w:rsidRPr="001B4E91">
      <w:rPr>
        <w:rStyle w:val="HideTWBExt"/>
      </w:rPr>
      <w:t>&lt;/Version&gt;</w:t>
    </w:r>
    <w:r w:rsidRPr="001B4E91">
      <w:t xml:space="preserve"> }</w:t>
    </w:r>
  </w:p>
  <w:p w14:paraId="46955A4D"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774.036</w:t>
    </w:r>
    <w:r w:rsidRPr="001B4E91">
      <w:rPr>
        <w:rStyle w:val="HideTWBExt"/>
      </w:rPr>
      <w:t>&lt;/NoPE&gt;&lt;Version&gt;</w:t>
    </w:r>
    <w:r w:rsidRPr="001B4E91">
      <w:t>v01-00</w:t>
    </w:r>
    <w:r w:rsidRPr="001B4E91">
      <w:rPr>
        <w:rStyle w:val="HideTWBExt"/>
      </w:rPr>
      <w:t>&lt;/Version&gt;</w:t>
    </w:r>
    <w:r w:rsidRPr="001B4E91">
      <w:t xml:space="preserve"> }</w:t>
    </w:r>
  </w:p>
  <w:p w14:paraId="1C530983"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774.037</w:t>
    </w:r>
    <w:r w:rsidRPr="001B4E91">
      <w:rPr>
        <w:rStyle w:val="HideTWBExt"/>
      </w:rPr>
      <w:t>&lt;/NoPE&gt;&lt;Version&gt;</w:t>
    </w:r>
    <w:r w:rsidRPr="001B4E91">
      <w:t>v01-00</w:t>
    </w:r>
    <w:r w:rsidRPr="001B4E91">
      <w:rPr>
        <w:rStyle w:val="HideTWBExt"/>
      </w:rPr>
      <w:t>&lt;/Version&gt;</w:t>
    </w:r>
    <w:r w:rsidRPr="001B4E91">
      <w:t xml:space="preserve"> } RC1</w:t>
    </w:r>
  </w:p>
  <w:p w14:paraId="6EF362D4" w14:textId="45823B80" w:rsidR="00626D73" w:rsidRPr="001B4E91" w:rsidRDefault="00727F1F" w:rsidP="00727F1F">
    <w:pPr>
      <w:pStyle w:val="EPFooter2"/>
    </w:pPr>
    <w:r w:rsidRPr="001B4E91">
      <w:tab/>
    </w:r>
    <w:r w:rsidRPr="001B4E9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5ECE1" w14:textId="77777777" w:rsidR="00727F1F" w:rsidRPr="001B4E91" w:rsidRDefault="00727F1F" w:rsidP="00727F1F">
    <w:pPr>
      <w:pStyle w:val="EPFooterRC"/>
    </w:pPr>
    <w:r w:rsidRPr="001B4E91">
      <w:rPr>
        <w:rStyle w:val="HideTWBExt"/>
      </w:rPr>
      <w:t>&lt;PathFdR&gt;</w:t>
    </w:r>
    <w:r w:rsidRPr="001B4E91">
      <w:t>RC\1324928FR.docx</w:t>
    </w:r>
    <w:r w:rsidRPr="001B4E91">
      <w:rPr>
        <w:rStyle w:val="HideTWBExt"/>
      </w:rPr>
      <w:t>&lt;/PathFdR&gt;</w:t>
    </w:r>
    <w:r w:rsidRPr="001B4E91">
      <w:tab/>
    </w:r>
    <w:r w:rsidRPr="001B4E91">
      <w:tab/>
      <w:t>PE</w:t>
    </w:r>
    <w:r w:rsidRPr="001B4E91">
      <w:rPr>
        <w:rStyle w:val="HideTWBExt"/>
      </w:rPr>
      <w:t>&lt;NoPE&gt;</w:t>
    </w:r>
    <w:r w:rsidRPr="001B4E91">
      <w:t>774.024</w:t>
    </w:r>
    <w:r w:rsidRPr="001B4E91">
      <w:rPr>
        <w:rStyle w:val="HideTWBExt"/>
      </w:rPr>
      <w:t>&lt;/NoPE&gt;&lt;Version&gt;</w:t>
    </w:r>
    <w:r w:rsidRPr="001B4E91">
      <w:t>v01-00</w:t>
    </w:r>
    <w:r w:rsidRPr="001B4E91">
      <w:rPr>
        <w:rStyle w:val="HideTWBExt"/>
      </w:rPr>
      <w:t>&lt;/Version&gt;</w:t>
    </w:r>
    <w:r w:rsidRPr="001B4E91">
      <w:t xml:space="preserve"> }</w:t>
    </w:r>
  </w:p>
  <w:p w14:paraId="3E9324DF" w14:textId="77777777" w:rsidR="00727F1F" w:rsidRPr="001B4E91" w:rsidRDefault="00727F1F" w:rsidP="00727F1F">
    <w:pPr>
      <w:pStyle w:val="EPFooterRC"/>
    </w:pPr>
    <w:r w:rsidRPr="001B4E91">
      <w:tab/>
    </w:r>
    <w:r w:rsidRPr="001B4E91">
      <w:tab/>
      <w:t>PE</w:t>
    </w:r>
    <w:r w:rsidRPr="001B4E91">
      <w:rPr>
        <w:rStyle w:val="HideTWBExt"/>
      </w:rPr>
      <w:t>&lt;NoPE&gt;</w:t>
    </w:r>
    <w:r w:rsidRPr="001B4E91">
      <w:t>774.029</w:t>
    </w:r>
    <w:r w:rsidRPr="001B4E91">
      <w:rPr>
        <w:rStyle w:val="HideTWBExt"/>
      </w:rPr>
      <w:t>&lt;/NoPE&gt;&lt;Version&gt;</w:t>
    </w:r>
    <w:r w:rsidRPr="001B4E91">
      <w:t>v01-00</w:t>
    </w:r>
    <w:r w:rsidRPr="001B4E91">
      <w:rPr>
        <w:rStyle w:val="HideTWBExt"/>
      </w:rPr>
      <w:t>&lt;/Version&gt;</w:t>
    </w:r>
    <w:r w:rsidRPr="001B4E91">
      <w:t xml:space="preserve"> }</w:t>
    </w:r>
  </w:p>
  <w:p w14:paraId="789CAFF3"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774.032</w:t>
    </w:r>
    <w:r w:rsidRPr="001B4E91">
      <w:rPr>
        <w:rStyle w:val="HideTWBExt"/>
      </w:rPr>
      <w:t>&lt;/NoPE&gt;&lt;Version&gt;</w:t>
    </w:r>
    <w:r w:rsidRPr="001B4E91">
      <w:t>v01-00</w:t>
    </w:r>
    <w:r w:rsidRPr="001B4E91">
      <w:rPr>
        <w:rStyle w:val="HideTWBExt"/>
      </w:rPr>
      <w:t>&lt;/Version&gt;</w:t>
    </w:r>
    <w:r w:rsidRPr="001B4E91">
      <w:t xml:space="preserve"> }</w:t>
    </w:r>
  </w:p>
  <w:p w14:paraId="427D2FA3"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774.036</w:t>
    </w:r>
    <w:r w:rsidRPr="001B4E91">
      <w:rPr>
        <w:rStyle w:val="HideTWBExt"/>
      </w:rPr>
      <w:t>&lt;/NoPE&gt;&lt;Version&gt;</w:t>
    </w:r>
    <w:r w:rsidRPr="001B4E91">
      <w:t>v01-00</w:t>
    </w:r>
    <w:r w:rsidRPr="001B4E91">
      <w:rPr>
        <w:rStyle w:val="HideTWBExt"/>
      </w:rPr>
      <w:t>&lt;/Version&gt;</w:t>
    </w:r>
    <w:r w:rsidRPr="001B4E91">
      <w:t xml:space="preserve"> }</w:t>
    </w:r>
  </w:p>
  <w:p w14:paraId="696676AD" w14:textId="77777777" w:rsidR="00727F1F" w:rsidRPr="001B4E91" w:rsidRDefault="00727F1F" w:rsidP="00727F1F">
    <w:pPr>
      <w:pStyle w:val="EPFooterRC"/>
    </w:pPr>
    <w:r w:rsidRPr="001B4E91">
      <w:tab/>
    </w:r>
    <w:r w:rsidRPr="001B4E91">
      <w:tab/>
      <w:t>PE</w:t>
    </w:r>
    <w:r w:rsidRPr="001B4E91">
      <w:rPr>
        <w:rStyle w:val="HideTWBExt"/>
      </w:rPr>
      <w:t>&lt;NoPE&gt;</w:t>
    </w:r>
    <w:r w:rsidRPr="001B4E91">
      <w:t>774.037</w:t>
    </w:r>
    <w:r w:rsidRPr="001B4E91">
      <w:rPr>
        <w:rStyle w:val="HideTWBExt"/>
      </w:rPr>
      <w:t>&lt;/NoPE&gt;&lt;Version&gt;</w:t>
    </w:r>
    <w:r w:rsidRPr="001B4E91">
      <w:t>v01-00</w:t>
    </w:r>
    <w:r w:rsidRPr="001B4E91">
      <w:rPr>
        <w:rStyle w:val="HideTWBExt"/>
      </w:rPr>
      <w:t>&lt;/Version&gt;</w:t>
    </w:r>
    <w:r w:rsidRPr="001B4E91">
      <w:t xml:space="preserve"> } RC1</w:t>
    </w:r>
  </w:p>
  <w:p w14:paraId="4DA8186C" w14:textId="0455BB90" w:rsidR="00626D73" w:rsidRPr="001B4E91" w:rsidRDefault="00727F1F" w:rsidP="00727F1F">
    <w:pPr>
      <w:pStyle w:val="EPFooter2"/>
    </w:pPr>
    <w:r w:rsidRPr="001B4E91">
      <w:t>FR</w:t>
    </w:r>
    <w:r w:rsidRPr="001B4E91">
      <w:tab/>
    </w:r>
    <w:r w:rsidRPr="001B4E91">
      <w:rPr>
        <w:b w:val="0"/>
        <w:i/>
        <w:color w:val="C0C0C0"/>
        <w:sz w:val="22"/>
      </w:rPr>
      <w:t>Unie dans la diversité</w:t>
    </w:r>
    <w:r w:rsidRPr="001B4E9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6C449" w14:textId="77777777" w:rsidR="003637A6" w:rsidRPr="001B4E91" w:rsidRDefault="003637A6">
      <w:r w:rsidRPr="001B4E91">
        <w:separator/>
      </w:r>
    </w:p>
  </w:footnote>
  <w:footnote w:type="continuationSeparator" w:id="0">
    <w:p w14:paraId="7A713E82" w14:textId="77777777" w:rsidR="003637A6" w:rsidRPr="001B4E91" w:rsidRDefault="003637A6">
      <w:r w:rsidRPr="001B4E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8EF23" w14:textId="77777777" w:rsidR="001A623A" w:rsidRDefault="001A6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9A97" w14:textId="77777777" w:rsidR="001A623A" w:rsidRDefault="001A6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B3DE6" w14:textId="77777777" w:rsidR="001A623A" w:rsidRDefault="001A6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MYVAR1" w:val="4"/>
    <w:docVar w:name="NVAR1" w:val="4"/>
    <w:docVar w:name="NVAR2" w:val="4"/>
    <w:docVar w:name="RULEMNU" w:val=" 5"/>
    <w:docVar w:name="strSubDir" w:val="1324"/>
    <w:docVar w:name="TABLERMNU" w:val=" 1"/>
    <w:docVar w:name="TITLEMNU" w:val=" 1"/>
    <w:docVar w:name="TXTLANGUE" w:val="FR"/>
    <w:docVar w:name="TXTLANGUEMIN" w:val="fr"/>
    <w:docVar w:name="TXTNRB1" w:val="0328/2025"/>
    <w:docVar w:name="TXTNRB2" w:val="0333/2025"/>
    <w:docVar w:name="TXTNRB3" w:val="0336/2025"/>
    <w:docVar w:name="TXTNRB4" w:val="0340/2025"/>
    <w:docVar w:name="TXTNRB5" w:val="0341/2025"/>
    <w:docVar w:name="TXTNRPE1" w:val="774.024"/>
    <w:docVar w:name="TXTNRPE2" w:val="774.029"/>
    <w:docVar w:name="TXTNRPE3" w:val="774.032"/>
    <w:docVar w:name="TXTNRPE4" w:val="774.036"/>
    <w:docVar w:name="TXTNRPE5" w:val="774.037"/>
    <w:docVar w:name="TXTNRRSP" w:val="2025/2796"/>
    <w:docVar w:name="TXTPEorAP" w:val="PE"/>
    <w:docVar w:name="TXTROUTE" w:val="RC\1324928FR.docx"/>
    <w:docVar w:name="TXTTITLE" w:val="the case of Ryan Cornelius in Dubai"/>
    <w:docVar w:name="TXTVERSION1" w:val="01-00"/>
    <w:docVar w:name="TXTVERSION2" w:val="01-00"/>
    <w:docVar w:name="TXTVERSION3" w:val="01-00"/>
    <w:docVar w:name="TXTVERSION4" w:val="01-00"/>
    <w:docVar w:name="TXTVERSION5" w:val="01-00"/>
  </w:docVars>
  <w:rsids>
    <w:rsidRoot w:val="003637A6"/>
    <w:rsid w:val="00005903"/>
    <w:rsid w:val="0001465F"/>
    <w:rsid w:val="0001776E"/>
    <w:rsid w:val="0008467F"/>
    <w:rsid w:val="000B3501"/>
    <w:rsid w:val="000B4B40"/>
    <w:rsid w:val="00132F55"/>
    <w:rsid w:val="00177088"/>
    <w:rsid w:val="001816C4"/>
    <w:rsid w:val="00184B3E"/>
    <w:rsid w:val="001A5F93"/>
    <w:rsid w:val="001A623A"/>
    <w:rsid w:val="001B3354"/>
    <w:rsid w:val="001B4E91"/>
    <w:rsid w:val="001D4223"/>
    <w:rsid w:val="001E6953"/>
    <w:rsid w:val="001F478E"/>
    <w:rsid w:val="00200844"/>
    <w:rsid w:val="002439D4"/>
    <w:rsid w:val="00250797"/>
    <w:rsid w:val="00251355"/>
    <w:rsid w:val="00263A64"/>
    <w:rsid w:val="002A2B62"/>
    <w:rsid w:val="002C4BC5"/>
    <w:rsid w:val="002E2D08"/>
    <w:rsid w:val="00335275"/>
    <w:rsid w:val="00342C03"/>
    <w:rsid w:val="003441B1"/>
    <w:rsid w:val="003637A6"/>
    <w:rsid w:val="003957F5"/>
    <w:rsid w:val="003B03C1"/>
    <w:rsid w:val="003D73AC"/>
    <w:rsid w:val="00407A72"/>
    <w:rsid w:val="00440589"/>
    <w:rsid w:val="00445AC8"/>
    <w:rsid w:val="00486CC2"/>
    <w:rsid w:val="00493197"/>
    <w:rsid w:val="004D5831"/>
    <w:rsid w:val="004E13DA"/>
    <w:rsid w:val="004E563D"/>
    <w:rsid w:val="004E63D0"/>
    <w:rsid w:val="004F3387"/>
    <w:rsid w:val="004F500E"/>
    <w:rsid w:val="00503B5F"/>
    <w:rsid w:val="00505571"/>
    <w:rsid w:val="00512790"/>
    <w:rsid w:val="00514C31"/>
    <w:rsid w:val="00530503"/>
    <w:rsid w:val="00550D1B"/>
    <w:rsid w:val="00554F5C"/>
    <w:rsid w:val="005832F3"/>
    <w:rsid w:val="00584E73"/>
    <w:rsid w:val="0059417F"/>
    <w:rsid w:val="005B55C9"/>
    <w:rsid w:val="005C13B8"/>
    <w:rsid w:val="005D1F88"/>
    <w:rsid w:val="005E607B"/>
    <w:rsid w:val="005F6A25"/>
    <w:rsid w:val="00600326"/>
    <w:rsid w:val="00623B7A"/>
    <w:rsid w:val="00626D73"/>
    <w:rsid w:val="006612B5"/>
    <w:rsid w:val="00676484"/>
    <w:rsid w:val="006F5830"/>
    <w:rsid w:val="00727F1F"/>
    <w:rsid w:val="00747149"/>
    <w:rsid w:val="00752855"/>
    <w:rsid w:val="00762DD4"/>
    <w:rsid w:val="00763757"/>
    <w:rsid w:val="00774F74"/>
    <w:rsid w:val="007C394B"/>
    <w:rsid w:val="007C665E"/>
    <w:rsid w:val="007D35C5"/>
    <w:rsid w:val="007E7F10"/>
    <w:rsid w:val="007F34BD"/>
    <w:rsid w:val="007F7251"/>
    <w:rsid w:val="0082552A"/>
    <w:rsid w:val="00830E96"/>
    <w:rsid w:val="008803A8"/>
    <w:rsid w:val="008A7EA4"/>
    <w:rsid w:val="008B04F8"/>
    <w:rsid w:val="008B59C9"/>
    <w:rsid w:val="008D5270"/>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429A0"/>
    <w:rsid w:val="00A530DF"/>
    <w:rsid w:val="00A72F04"/>
    <w:rsid w:val="00A83D42"/>
    <w:rsid w:val="00AA1D6D"/>
    <w:rsid w:val="00AB70B2"/>
    <w:rsid w:val="00B011CF"/>
    <w:rsid w:val="00B15782"/>
    <w:rsid w:val="00B47668"/>
    <w:rsid w:val="00B560F8"/>
    <w:rsid w:val="00B602BC"/>
    <w:rsid w:val="00BB330A"/>
    <w:rsid w:val="00BD1A6A"/>
    <w:rsid w:val="00BE0288"/>
    <w:rsid w:val="00C21478"/>
    <w:rsid w:val="00C55061"/>
    <w:rsid w:val="00C600AE"/>
    <w:rsid w:val="00CA2FB9"/>
    <w:rsid w:val="00CA51BD"/>
    <w:rsid w:val="00CB6B3F"/>
    <w:rsid w:val="00CC3262"/>
    <w:rsid w:val="00CD0C25"/>
    <w:rsid w:val="00CF6A5D"/>
    <w:rsid w:val="00D32298"/>
    <w:rsid w:val="00D424CF"/>
    <w:rsid w:val="00D57C45"/>
    <w:rsid w:val="00D62D4B"/>
    <w:rsid w:val="00DE63BF"/>
    <w:rsid w:val="00E10992"/>
    <w:rsid w:val="00E2703B"/>
    <w:rsid w:val="00E3396B"/>
    <w:rsid w:val="00E42051"/>
    <w:rsid w:val="00E504B7"/>
    <w:rsid w:val="00E95069"/>
    <w:rsid w:val="00EC024A"/>
    <w:rsid w:val="00F25968"/>
    <w:rsid w:val="00F75EB7"/>
    <w:rsid w:val="00F849BF"/>
    <w:rsid w:val="00F92249"/>
    <w:rsid w:val="00FB47E2"/>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2C07047"/>
  <w15:chartTrackingRefBased/>
  <w15:docId w15:val="{39DA320B-D4DB-4CBB-90EE-68CA1C39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FB47E2"/>
    <w:pPr>
      <w:tabs>
        <w:tab w:val="center" w:pos="4513"/>
        <w:tab w:val="right" w:pos="9026"/>
      </w:tabs>
    </w:pPr>
  </w:style>
  <w:style w:type="character" w:customStyle="1" w:styleId="FooterChar">
    <w:name w:val="Footer Char"/>
    <w:basedOn w:val="DefaultParagraphFont"/>
    <w:link w:val="Footer"/>
    <w:semiHidden/>
    <w:rsid w:val="00FB47E2"/>
    <w:rPr>
      <w:sz w:val="24"/>
    </w:rPr>
  </w:style>
  <w:style w:type="character" w:styleId="Hyperlink">
    <w:name w:val="Hyperlink"/>
    <w:basedOn w:val="DefaultParagraphFont"/>
    <w:uiPriority w:val="99"/>
    <w:unhideWhenUsed/>
    <w:rsid w:val="00E95069"/>
    <w:rPr>
      <w:color w:val="0563C1" w:themeColor="hyperlink"/>
      <w:u w:val="single"/>
    </w:rPr>
  </w:style>
  <w:style w:type="character" w:customStyle="1" w:styleId="NormalHanging12aChar">
    <w:name w:val="NormalHanging12a Char"/>
    <w:basedOn w:val="DefaultParagraphFont"/>
    <w:link w:val="NormalHanging12a"/>
    <w:locked/>
    <w:rsid w:val="00E95069"/>
    <w:rPr>
      <w:sz w:val="24"/>
    </w:rPr>
  </w:style>
  <w:style w:type="character" w:customStyle="1" w:styleId="EPCommaChar">
    <w:name w:val="EPComma Char"/>
    <w:basedOn w:val="DefaultParagraphFont"/>
    <w:link w:val="EPComma"/>
    <w:rsid w:val="00E95069"/>
    <w:rPr>
      <w:sz w:val="24"/>
    </w:rPr>
  </w:style>
  <w:style w:type="character" w:styleId="Strong">
    <w:name w:val="Strong"/>
    <w:basedOn w:val="DefaultParagraphFont"/>
    <w:uiPriority w:val="22"/>
    <w:qFormat/>
    <w:rsid w:val="00E95069"/>
    <w:rPr>
      <w:b/>
      <w:bCs/>
    </w:rPr>
  </w:style>
  <w:style w:type="character" w:styleId="CommentReference">
    <w:name w:val="annotation reference"/>
    <w:basedOn w:val="DefaultParagraphFont"/>
    <w:rsid w:val="00E95069"/>
    <w:rPr>
      <w:sz w:val="16"/>
      <w:szCs w:val="16"/>
    </w:rPr>
  </w:style>
  <w:style w:type="paragraph" w:styleId="CommentText">
    <w:name w:val="annotation text"/>
    <w:basedOn w:val="Normal"/>
    <w:link w:val="CommentTextChar"/>
    <w:rsid w:val="00E95069"/>
    <w:rPr>
      <w:sz w:val="20"/>
    </w:rPr>
  </w:style>
  <w:style w:type="character" w:customStyle="1" w:styleId="CommentTextChar">
    <w:name w:val="Comment Text Char"/>
    <w:basedOn w:val="DefaultParagraphFont"/>
    <w:link w:val="CommentText"/>
    <w:rsid w:val="00E95069"/>
  </w:style>
  <w:style w:type="paragraph" w:styleId="BalloonText">
    <w:name w:val="Balloon Text"/>
    <w:basedOn w:val="Normal"/>
    <w:link w:val="BalloonTextChar"/>
    <w:semiHidden/>
    <w:unhideWhenUsed/>
    <w:rsid w:val="00E95069"/>
    <w:rPr>
      <w:rFonts w:ascii="Segoe UI" w:hAnsi="Segoe UI" w:cs="Segoe UI"/>
      <w:sz w:val="18"/>
      <w:szCs w:val="18"/>
    </w:rPr>
  </w:style>
  <w:style w:type="character" w:customStyle="1" w:styleId="BalloonTextChar">
    <w:name w:val="Balloon Text Char"/>
    <w:basedOn w:val="DefaultParagraphFont"/>
    <w:link w:val="BalloonText"/>
    <w:semiHidden/>
    <w:rsid w:val="00E95069"/>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4E63D0"/>
    <w:rPr>
      <w:b/>
      <w:bCs/>
    </w:rPr>
  </w:style>
  <w:style w:type="character" w:customStyle="1" w:styleId="CommentSubjectChar">
    <w:name w:val="Comment Subject Char"/>
    <w:basedOn w:val="CommentTextChar"/>
    <w:link w:val="CommentSubject"/>
    <w:semiHidden/>
    <w:rsid w:val="004E63D0"/>
    <w:rPr>
      <w:b/>
      <w:bCs/>
    </w:rPr>
  </w:style>
  <w:style w:type="paragraph" w:styleId="Revision">
    <w:name w:val="Revision"/>
    <w:hidden/>
    <w:uiPriority w:val="99"/>
    <w:semiHidden/>
    <w:rsid w:val="004E63D0"/>
    <w:rPr>
      <w:sz w:val="24"/>
    </w:rPr>
  </w:style>
  <w:style w:type="paragraph" w:customStyle="1" w:styleId="EPFooter">
    <w:name w:val="EPFooter"/>
    <w:basedOn w:val="Normal"/>
    <w:link w:val="EPFooterChar"/>
    <w:rsid w:val="00727F1F"/>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727F1F"/>
    <w:rPr>
      <w:rFonts w:ascii="Arial Narrow" w:hAnsi="Arial Narrow" w:cs="Arial"/>
      <w:b/>
      <w:sz w:val="32"/>
      <w:szCs w:val="22"/>
    </w:rPr>
  </w:style>
  <w:style w:type="character" w:customStyle="1" w:styleId="EPFooterChar">
    <w:name w:val="EPFooter Char"/>
    <w:basedOn w:val="EPNameChar"/>
    <w:link w:val="EPFooter"/>
    <w:rsid w:val="00727F1F"/>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4212</Characters>
  <Application>Microsoft Office Word</Application>
  <DocSecurity>0</DocSecurity>
  <Lines>97</Lines>
  <Paragraphs>48</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VENANCE Olivier</cp:lastModifiedBy>
  <cp:revision>2</cp:revision>
  <cp:lastPrinted>2025-07-09T14:42:00Z</cp:lastPrinted>
  <dcterms:created xsi:type="dcterms:W3CDTF">2025-07-09T16:50:00Z</dcterms:created>
  <dcterms:modified xsi:type="dcterms:W3CDTF">2025-07-09T16:50:00Z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1324928</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RC\1324928FR.docx</vt:lpwstr>
  </property>
  <property fmtid="{D5CDD505-2E9C-101B-9397-08002B2CF9AE}" pid="11" name="Bookout">
    <vt:lpwstr>OK - 2025/07/09 18:50</vt:lpwstr>
  </property>
  <property fmtid="{D5CDD505-2E9C-101B-9397-08002B2CF9AE}" pid="12" name="OriLang">
    <vt:lpwstr>EN</vt:lpwstr>
  </property>
  <property fmtid="{D5CDD505-2E9C-101B-9397-08002B2CF9AE}" pid="13" name="SDLStudio">
    <vt:lpwstr/>
  </property>
</Properties>
</file>