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4740EE" w:rsidRPr="00E62504" w14:paraId="1CE47101" w14:textId="77777777" w:rsidTr="00C85D0F">
        <w:trPr>
          <w:trHeight w:hRule="exact" w:val="1418"/>
        </w:trPr>
        <w:tc>
          <w:tcPr>
            <w:tcW w:w="6804" w:type="dxa"/>
            <w:vAlign w:val="center"/>
          </w:tcPr>
          <w:p w14:paraId="50AA55D7" w14:textId="77777777" w:rsidR="00CD0C25" w:rsidRPr="00E62504" w:rsidRDefault="00461EDC" w:rsidP="00C85D0F">
            <w:pPr>
              <w:pStyle w:val="EPName"/>
            </w:pPr>
            <w:r w:rsidRPr="00E62504">
              <w:t>Europa-Parlamentet</w:t>
            </w:r>
          </w:p>
          <w:p w14:paraId="31AC060D" w14:textId="77777777" w:rsidR="00CD0C25" w:rsidRPr="00E62504" w:rsidRDefault="00461EDC" w:rsidP="00C85D0F">
            <w:pPr>
              <w:pStyle w:val="EPTerm"/>
            </w:pPr>
            <w:r w:rsidRPr="00E62504">
              <w:t>2024-2029</w:t>
            </w:r>
          </w:p>
        </w:tc>
        <w:tc>
          <w:tcPr>
            <w:tcW w:w="2268" w:type="dxa"/>
          </w:tcPr>
          <w:p w14:paraId="2F70FE9C" w14:textId="77777777" w:rsidR="00CD0C25" w:rsidRPr="00E62504" w:rsidRDefault="00461EDC" w:rsidP="00C85D0F">
            <w:pPr>
              <w:pStyle w:val="EPLogo"/>
            </w:pPr>
            <w:r w:rsidRPr="00E62504">
              <w:rPr>
                <w:noProof/>
                <w:lang w:eastAsia="ja-JP"/>
              </w:rPr>
              <w:drawing>
                <wp:inline distT="0" distB="0" distL="0" distR="0" wp14:anchorId="63FA5F10" wp14:editId="171DCE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2CFEE09" w14:textId="77777777" w:rsidR="00FF0919" w:rsidRPr="00E62504" w:rsidRDefault="00FF0919" w:rsidP="00FF0919">
      <w:pPr>
        <w:pStyle w:val="LineTop"/>
      </w:pPr>
    </w:p>
    <w:p w14:paraId="7DEB8B5C" w14:textId="77777777" w:rsidR="00FF0919" w:rsidRPr="00E62504" w:rsidRDefault="00461EDC" w:rsidP="00FF0919">
      <w:pPr>
        <w:pStyle w:val="EPBody"/>
      </w:pPr>
      <w:r w:rsidRPr="00E62504">
        <w:t>Mødedokument</w:t>
      </w:r>
    </w:p>
    <w:p w14:paraId="504E3C30" w14:textId="77777777" w:rsidR="00752855" w:rsidRPr="00E62504" w:rsidRDefault="00752855" w:rsidP="00752855">
      <w:pPr>
        <w:pStyle w:val="LineBottom"/>
      </w:pPr>
    </w:p>
    <w:p w14:paraId="6467E044" w14:textId="77777777" w:rsidR="007D35C5" w:rsidRPr="00E62504" w:rsidRDefault="007D35C5" w:rsidP="007D35C5"/>
    <w:p w14:paraId="001380F3" w14:textId="77777777" w:rsidR="009D33CF" w:rsidRPr="00E62504" w:rsidRDefault="00461EDC" w:rsidP="00A429A0">
      <w:pPr>
        <w:pStyle w:val="CoverReferenceRC"/>
        <w:tabs>
          <w:tab w:val="clear" w:pos="6804"/>
          <w:tab w:val="left" w:pos="6521"/>
        </w:tabs>
      </w:pPr>
      <w:r w:rsidRPr="00E62504">
        <w:rPr>
          <w:rStyle w:val="HideTWBExt"/>
          <w:b w:val="0"/>
        </w:rPr>
        <w:t>&lt;RepeatBlock-NoDocSe&gt;</w:t>
      </w:r>
      <w:r w:rsidRPr="00E62504">
        <w:tab/>
      </w:r>
      <w:r w:rsidRPr="00E62504">
        <w:rPr>
          <w:rStyle w:val="HideTWBExt"/>
          <w:b w:val="0"/>
        </w:rPr>
        <w:t>&lt;NoDocSe&gt;</w:t>
      </w:r>
      <w:r w:rsidRPr="00E62504">
        <w:t>B10</w:t>
      </w:r>
      <w:r w:rsidRPr="00E62504">
        <w:noBreakHyphen/>
        <w:t>0441/2026</w:t>
      </w:r>
      <w:r w:rsidRPr="00E62504">
        <w:rPr>
          <w:rStyle w:val="HideTWBExt"/>
          <w:b w:val="0"/>
        </w:rPr>
        <w:t>&lt;/NoDocSe&gt;</w:t>
      </w:r>
      <w:r w:rsidRPr="00E62504">
        <w:t xml:space="preserve"> } </w:t>
      </w:r>
    </w:p>
    <w:p w14:paraId="0746A181" w14:textId="77777777" w:rsidR="00A2451D" w:rsidRPr="00E62504" w:rsidRDefault="00461EDC" w:rsidP="00A2451D">
      <w:pPr>
        <w:pStyle w:val="CoverReferenceRC"/>
        <w:tabs>
          <w:tab w:val="clear" w:pos="6804"/>
          <w:tab w:val="left" w:pos="6521"/>
        </w:tabs>
      </w:pPr>
      <w:r w:rsidRPr="00E62504">
        <w:tab/>
      </w:r>
      <w:r w:rsidRPr="00E62504">
        <w:rPr>
          <w:rStyle w:val="HideTWBExt"/>
          <w:b w:val="0"/>
        </w:rPr>
        <w:t>&lt;NoDocSe&gt;</w:t>
      </w:r>
      <w:r w:rsidRPr="00E62504">
        <w:t>B10</w:t>
      </w:r>
      <w:r w:rsidRPr="00E62504">
        <w:noBreakHyphen/>
        <w:t>0444/2026</w:t>
      </w:r>
      <w:r w:rsidRPr="00E62504">
        <w:rPr>
          <w:rStyle w:val="HideTWBExt"/>
          <w:b w:val="0"/>
        </w:rPr>
        <w:t>&lt;/NoDocSe&gt;</w:t>
      </w:r>
      <w:r w:rsidRPr="00E62504">
        <w:t xml:space="preserve"> } </w:t>
      </w:r>
    </w:p>
    <w:p w14:paraId="3BAE8052" w14:textId="77777777" w:rsidR="00A2451D" w:rsidRPr="00E62504" w:rsidRDefault="00461EDC" w:rsidP="00A2451D">
      <w:pPr>
        <w:pStyle w:val="CoverReferenceRC"/>
        <w:tabs>
          <w:tab w:val="clear" w:pos="6804"/>
          <w:tab w:val="left" w:pos="6521"/>
        </w:tabs>
      </w:pPr>
      <w:r w:rsidRPr="00E62504">
        <w:tab/>
      </w:r>
      <w:r w:rsidRPr="00E62504">
        <w:rPr>
          <w:rStyle w:val="HideTWBExt"/>
          <w:b w:val="0"/>
        </w:rPr>
        <w:t>&lt;NoDocSe&gt;</w:t>
      </w:r>
      <w:r w:rsidRPr="00E62504">
        <w:t>B10</w:t>
      </w:r>
      <w:r w:rsidRPr="00E62504">
        <w:noBreakHyphen/>
        <w:t>0445/2026</w:t>
      </w:r>
      <w:r w:rsidRPr="00E62504">
        <w:rPr>
          <w:rStyle w:val="HideTWBExt"/>
          <w:b w:val="0"/>
        </w:rPr>
        <w:t>&lt;/NoDocSe&gt;</w:t>
      </w:r>
      <w:r w:rsidRPr="00E62504">
        <w:t xml:space="preserve"> } </w:t>
      </w:r>
    </w:p>
    <w:p w14:paraId="307DA299" w14:textId="77777777" w:rsidR="00A2451D" w:rsidRPr="00E62504" w:rsidRDefault="00461EDC" w:rsidP="00A2451D">
      <w:pPr>
        <w:pStyle w:val="CoverReferenceRC"/>
        <w:tabs>
          <w:tab w:val="clear" w:pos="6804"/>
          <w:tab w:val="left" w:pos="6521"/>
        </w:tabs>
      </w:pPr>
      <w:r w:rsidRPr="00E62504">
        <w:tab/>
      </w:r>
      <w:r w:rsidRPr="00E62504">
        <w:rPr>
          <w:rStyle w:val="HideTWBExt"/>
          <w:b w:val="0"/>
        </w:rPr>
        <w:t>&lt;NoDocSe&gt;</w:t>
      </w:r>
      <w:r w:rsidRPr="00E62504">
        <w:t>B10</w:t>
      </w:r>
      <w:r w:rsidRPr="00E62504">
        <w:noBreakHyphen/>
        <w:t>0446/2026</w:t>
      </w:r>
      <w:r w:rsidRPr="00E62504">
        <w:rPr>
          <w:rStyle w:val="HideTWBExt"/>
          <w:b w:val="0"/>
        </w:rPr>
        <w:t>&lt;/NoDocSe&gt;</w:t>
      </w:r>
      <w:r w:rsidRPr="00E62504">
        <w:t xml:space="preserve"> } </w:t>
      </w:r>
    </w:p>
    <w:p w14:paraId="5ED3A2EB" w14:textId="77777777" w:rsidR="009D33CF" w:rsidRPr="00E62504" w:rsidRDefault="00461EDC" w:rsidP="00A429A0">
      <w:pPr>
        <w:pStyle w:val="CoverReferenceRC"/>
        <w:tabs>
          <w:tab w:val="clear" w:pos="6804"/>
          <w:tab w:val="left" w:pos="6521"/>
        </w:tabs>
      </w:pPr>
      <w:r w:rsidRPr="00E62504">
        <w:tab/>
      </w:r>
      <w:r w:rsidRPr="00E62504">
        <w:rPr>
          <w:rStyle w:val="HideTWBExt"/>
          <w:b w:val="0"/>
        </w:rPr>
        <w:t>&lt;NoDocSe&gt;</w:t>
      </w:r>
      <w:r w:rsidRPr="00E62504">
        <w:t>B10</w:t>
      </w:r>
      <w:r w:rsidRPr="00E62504">
        <w:noBreakHyphen/>
        <w:t>0449/2026</w:t>
      </w:r>
      <w:r w:rsidRPr="00E62504">
        <w:rPr>
          <w:rStyle w:val="HideTWBExt"/>
          <w:b w:val="0"/>
        </w:rPr>
        <w:t>&lt;/NoDocSe&gt;&lt;/RepeatBlock-NoDocSe&gt;</w:t>
      </w:r>
      <w:r w:rsidRPr="00E62504">
        <w:t xml:space="preserve"> } RC1</w:t>
      </w:r>
    </w:p>
    <w:p w14:paraId="781DFB51" w14:textId="77777777" w:rsidR="004F500E" w:rsidRPr="00E62504" w:rsidRDefault="00461EDC" w:rsidP="00F849BF">
      <w:pPr>
        <w:pStyle w:val="CoverDate"/>
      </w:pPr>
      <w:r w:rsidRPr="00E62504">
        <w:rPr>
          <w:rStyle w:val="HideTWBExt"/>
        </w:rPr>
        <w:t>&lt;Date&gt;</w:t>
      </w:r>
      <w:r w:rsidRPr="00E62504">
        <w:rPr>
          <w:rStyle w:val="HideTWBInt"/>
          <w:color w:val="auto"/>
        </w:rPr>
        <w:t>{06/10/2026}</w:t>
      </w:r>
      <w:r w:rsidRPr="00E62504">
        <w:t>6.10.2026</w:t>
      </w:r>
      <w:r w:rsidRPr="00E62504">
        <w:rPr>
          <w:rStyle w:val="HideTWBExt"/>
        </w:rPr>
        <w:t>&lt;/Date&gt;</w:t>
      </w:r>
    </w:p>
    <w:p w14:paraId="313F4C7C" w14:textId="77777777" w:rsidR="009D33CF" w:rsidRPr="00E62504" w:rsidRDefault="00461EDC">
      <w:pPr>
        <w:pStyle w:val="CoverDocType24a"/>
      </w:pPr>
      <w:r w:rsidRPr="00E62504">
        <w:rPr>
          <w:rStyle w:val="HideTWBExt"/>
          <w:b w:val="0"/>
        </w:rPr>
        <w:t>&lt;TitreType&gt;</w:t>
      </w:r>
      <w:r w:rsidRPr="00E62504">
        <w:t>FÆLLES BESLUTNINGSFORSLAG</w:t>
      </w:r>
      <w:r w:rsidRPr="00E62504">
        <w:rPr>
          <w:rStyle w:val="HideTWBExt"/>
          <w:b w:val="0"/>
        </w:rPr>
        <w:t>&lt;/TitreType&gt;</w:t>
      </w:r>
    </w:p>
    <w:p w14:paraId="646606D6" w14:textId="77777777" w:rsidR="009D33CF" w:rsidRPr="00E62504" w:rsidRDefault="00461EDC">
      <w:pPr>
        <w:pStyle w:val="CoverNormal12a"/>
      </w:pPr>
      <w:r w:rsidRPr="00E62504">
        <w:rPr>
          <w:rStyle w:val="HideTWBExt"/>
        </w:rPr>
        <w:t>&lt;TitreRecueil&gt;</w:t>
      </w:r>
      <w:r w:rsidRPr="00E62504">
        <w:t>jf. forretningsordenens artikel 136, stk. 2 og 4</w:t>
      </w:r>
      <w:r w:rsidRPr="00E62504">
        <w:rPr>
          <w:rStyle w:val="HideTWBExt"/>
        </w:rPr>
        <w:t>&lt;/TitreRecueil&gt;</w:t>
      </w:r>
    </w:p>
    <w:p w14:paraId="39213F1F" w14:textId="77777777" w:rsidR="00747149" w:rsidRPr="00E62504" w:rsidRDefault="00461EDC" w:rsidP="007E7F10">
      <w:pPr>
        <w:pStyle w:val="CoverNormal"/>
      </w:pPr>
      <w:r w:rsidRPr="00E62504">
        <w:rPr>
          <w:rStyle w:val="HideTWBExt"/>
        </w:rPr>
        <w:t>&lt;Replacing&gt;</w:t>
      </w:r>
      <w:r w:rsidRPr="00E62504">
        <w:t>til erstatning af følgende beslutningsforslag:</w:t>
      </w:r>
      <w:r w:rsidRPr="00E62504">
        <w:rPr>
          <w:rStyle w:val="HideTWBExt"/>
        </w:rPr>
        <w:t>&lt;/Replacing&gt;</w:t>
      </w:r>
    </w:p>
    <w:p w14:paraId="4B7F5A02" w14:textId="77777777" w:rsidR="00747149" w:rsidRPr="00E62504" w:rsidRDefault="00461EDC" w:rsidP="007E7F10">
      <w:pPr>
        <w:pStyle w:val="CoverNormal"/>
      </w:pPr>
      <w:r w:rsidRPr="00E62504">
        <w:rPr>
          <w:rStyle w:val="HideTWBExt"/>
        </w:rPr>
        <w:t>&lt;TablingGroups&gt;</w:t>
      </w:r>
      <w:r w:rsidRPr="00E62504">
        <w:t>B10</w:t>
      </w:r>
      <w:r w:rsidRPr="00E62504">
        <w:noBreakHyphen/>
        <w:t>0441/2026 (S&amp;D)</w:t>
      </w:r>
    </w:p>
    <w:p w14:paraId="6FACDF15" w14:textId="77777777" w:rsidR="00A2451D" w:rsidRPr="00E62504" w:rsidRDefault="00461EDC" w:rsidP="00A2451D">
      <w:pPr>
        <w:pStyle w:val="CoverNormal"/>
      </w:pPr>
      <w:r w:rsidRPr="00E62504">
        <w:t>B10</w:t>
      </w:r>
      <w:r w:rsidRPr="00E62504">
        <w:noBreakHyphen/>
        <w:t>0444/2026 (Verts/ALE)</w:t>
      </w:r>
    </w:p>
    <w:p w14:paraId="55F71918" w14:textId="77777777" w:rsidR="00A2451D" w:rsidRPr="00E62504" w:rsidRDefault="00461EDC" w:rsidP="00A2451D">
      <w:pPr>
        <w:pStyle w:val="CoverNormal"/>
      </w:pPr>
      <w:r w:rsidRPr="00E62504">
        <w:t>B10</w:t>
      </w:r>
      <w:r w:rsidRPr="00E62504">
        <w:noBreakHyphen/>
        <w:t>0445/2026 (Renew)</w:t>
      </w:r>
    </w:p>
    <w:p w14:paraId="038AA04A" w14:textId="77777777" w:rsidR="00A2451D" w:rsidRPr="00E62504" w:rsidRDefault="00461EDC" w:rsidP="00A2451D">
      <w:pPr>
        <w:pStyle w:val="CoverNormal"/>
      </w:pPr>
      <w:r w:rsidRPr="00E62504">
        <w:t>B10</w:t>
      </w:r>
      <w:r w:rsidRPr="00E62504">
        <w:noBreakHyphen/>
        <w:t>0446/2026 (PPE)</w:t>
      </w:r>
    </w:p>
    <w:p w14:paraId="7833DFF1" w14:textId="77777777" w:rsidR="00747149" w:rsidRPr="00E62504" w:rsidRDefault="00461EDC" w:rsidP="00747149">
      <w:pPr>
        <w:pStyle w:val="CoverNormal12a"/>
      </w:pPr>
      <w:r w:rsidRPr="00E62504">
        <w:t>B10</w:t>
      </w:r>
      <w:r w:rsidRPr="00E62504">
        <w:noBreakHyphen/>
        <w:t>0449/2026 (ECR)</w:t>
      </w:r>
      <w:r w:rsidRPr="00E62504">
        <w:rPr>
          <w:rStyle w:val="HideTWBExt"/>
        </w:rPr>
        <w:t>&lt;/TablingGroups&gt;</w:t>
      </w:r>
    </w:p>
    <w:p w14:paraId="79230F11" w14:textId="77777777" w:rsidR="00747149" w:rsidRPr="00E62504" w:rsidRDefault="00461EDC" w:rsidP="007E7F10">
      <w:pPr>
        <w:pStyle w:val="CoverNormal"/>
      </w:pPr>
      <w:r w:rsidRPr="00E62504">
        <w:rPr>
          <w:rStyle w:val="HideTWBExt"/>
        </w:rPr>
        <w:t>&lt;Titre&gt;</w:t>
      </w:r>
      <w:r w:rsidRPr="00E62504">
        <w:t>om det udemokratiske valg til den russiske statsduma i 2026 og konsekvenserne heraf for civilsamfundet</w:t>
      </w:r>
      <w:r w:rsidRPr="00E62504">
        <w:rPr>
          <w:rStyle w:val="HideTWBExt"/>
        </w:rPr>
        <w:t>&lt;/Titre&gt;</w:t>
      </w:r>
    </w:p>
    <w:p w14:paraId="5105FC61" w14:textId="77777777" w:rsidR="00747149" w:rsidRPr="00E62504" w:rsidRDefault="00461EDC" w:rsidP="00747149">
      <w:pPr>
        <w:pStyle w:val="CoverNormal24a"/>
      </w:pPr>
      <w:r w:rsidRPr="00E62504">
        <w:rPr>
          <w:rStyle w:val="HideTWBExt"/>
        </w:rPr>
        <w:t>&lt;DocRef&gt;</w:t>
      </w:r>
      <w:r w:rsidRPr="00E62504">
        <w:t>(2026/2907(RSP))</w:t>
      </w:r>
      <w:r w:rsidRPr="00E62504">
        <w:rPr>
          <w:rStyle w:val="HideTWBExt"/>
        </w:rPr>
        <w:t>&lt;/DocRef&gt;</w:t>
      </w:r>
    </w:p>
    <w:p w14:paraId="6DB00328" w14:textId="77777777" w:rsidR="00747149" w:rsidRPr="00E62504" w:rsidRDefault="00461EDC" w:rsidP="00747149">
      <w:pPr>
        <w:pStyle w:val="CoverBold"/>
      </w:pPr>
      <w:r w:rsidRPr="00E62504">
        <w:rPr>
          <w:rStyle w:val="HideTWBExt"/>
          <w:b w:val="0"/>
        </w:rPr>
        <w:t>&lt;RepeatBlock-By&gt;&lt;Depute&gt;</w:t>
      </w:r>
      <w:r w:rsidRPr="00E62504">
        <w:t>Michael Gahler, Sandra Kalniete, Andrzej Halicki, David McAllister, Sebastião Bugalho, Rasa Juknevičienė, Isabel Wiseler</w:t>
      </w:r>
      <w:r w:rsidRPr="00E62504">
        <w:noBreakHyphen/>
        <w:t>Lima, Inese Vaidere</w:t>
      </w:r>
      <w:r w:rsidRPr="00E62504">
        <w:rPr>
          <w:rStyle w:val="HideTWBExt"/>
          <w:b w:val="0"/>
          <w:color w:val="auto"/>
        </w:rPr>
        <w:t>&lt;/Depute&gt;</w:t>
      </w:r>
    </w:p>
    <w:p w14:paraId="14760148" w14:textId="77777777" w:rsidR="00747149" w:rsidRPr="00E62504" w:rsidRDefault="00461EDC" w:rsidP="007E7F10">
      <w:pPr>
        <w:pStyle w:val="CoverNormal"/>
      </w:pPr>
      <w:r w:rsidRPr="00E62504">
        <w:rPr>
          <w:rStyle w:val="HideTWBExt"/>
        </w:rPr>
        <w:t>&lt;Commission&gt;</w:t>
      </w:r>
      <w:r w:rsidRPr="00E62504">
        <w:rPr>
          <w:rStyle w:val="HideTWBInt"/>
          <w:color w:val="auto"/>
        </w:rPr>
        <w:t>{PPE}</w:t>
      </w:r>
      <w:r w:rsidRPr="00E62504">
        <w:t>for PPE-Gruppen</w:t>
      </w:r>
      <w:r w:rsidRPr="00E62504">
        <w:rPr>
          <w:rStyle w:val="HideTWBExt"/>
        </w:rPr>
        <w:t>&lt;/Commission&gt;</w:t>
      </w:r>
    </w:p>
    <w:p w14:paraId="0E1BE26E" w14:textId="77777777" w:rsidR="00A2451D" w:rsidRPr="00E62504" w:rsidRDefault="00461EDC" w:rsidP="00A2451D">
      <w:pPr>
        <w:pStyle w:val="CoverBold"/>
      </w:pPr>
      <w:r w:rsidRPr="00E62504">
        <w:rPr>
          <w:rStyle w:val="HideTWBExt"/>
          <w:b w:val="0"/>
        </w:rPr>
        <w:t>&lt;Depute&gt;</w:t>
      </w:r>
      <w:r w:rsidRPr="00E62504">
        <w:t>Yannis Maniatis, Nacho Sánchez Amor, Alessandra Moretti</w:t>
      </w:r>
      <w:r w:rsidRPr="00E62504">
        <w:rPr>
          <w:rStyle w:val="HideTWBExt"/>
          <w:b w:val="0"/>
          <w:color w:val="auto"/>
        </w:rPr>
        <w:t>&lt;/Depute&gt;</w:t>
      </w:r>
    </w:p>
    <w:p w14:paraId="5ECA3D12" w14:textId="77777777" w:rsidR="00A2451D" w:rsidRPr="00E62504" w:rsidRDefault="00461EDC" w:rsidP="00A2451D">
      <w:pPr>
        <w:pStyle w:val="CoverNormal"/>
      </w:pPr>
      <w:r w:rsidRPr="00E62504">
        <w:rPr>
          <w:rStyle w:val="HideTWBExt"/>
        </w:rPr>
        <w:t>&lt;Commission&gt;</w:t>
      </w:r>
      <w:r w:rsidRPr="00E62504">
        <w:rPr>
          <w:rStyle w:val="HideTWBInt"/>
          <w:color w:val="auto"/>
        </w:rPr>
        <w:t>{S&amp;D}</w:t>
      </w:r>
      <w:r w:rsidRPr="00E62504">
        <w:t>for S&amp;D-Gruppen</w:t>
      </w:r>
      <w:r w:rsidRPr="00E62504">
        <w:rPr>
          <w:rStyle w:val="HideTWBExt"/>
        </w:rPr>
        <w:t>&lt;/Commission&gt;</w:t>
      </w:r>
    </w:p>
    <w:p w14:paraId="0F95D4B4" w14:textId="77777777" w:rsidR="00A2451D" w:rsidRPr="00E62504" w:rsidRDefault="00461EDC" w:rsidP="00A2451D">
      <w:pPr>
        <w:pStyle w:val="CoverBold"/>
      </w:pPr>
      <w:r w:rsidRPr="00E62504">
        <w:rPr>
          <w:rStyle w:val="HideTWBExt"/>
          <w:b w:val="0"/>
        </w:rPr>
        <w:t>&lt;Depute&gt;</w:t>
      </w:r>
      <w:r w:rsidRPr="00E62504">
        <w:t xml:space="preserve">Adam Bielan, Rihards Kols, Arkadiusz Mularczyk, Małgorzata Gosiewska, Maciej Wąsik, Anna Zalewska, Reinis Pozņaks, Jadwiga </w:t>
      </w:r>
      <w:r w:rsidRPr="00E62504">
        <w:lastRenderedPageBreak/>
        <w:t>Wiśniewska, Aurelijus Veryga, Mariusz Kamiński, Charlie Weimers, Sebastian Tynkkynen, Michał Dworczyk, Alexandr Vondra, Nora Junco García, Bogdan Rzońca, Marlena Maląg, Waldemar Buda, Nikola Bartůšek, Dick Erixon, Beatrice Timgren, Joachim Stanisław Brudziński, Roberts Zīle, Jaak Madison, Geadis Geadi</w:t>
      </w:r>
      <w:r w:rsidRPr="00E62504">
        <w:rPr>
          <w:rStyle w:val="HideTWBExt"/>
          <w:b w:val="0"/>
          <w:color w:val="auto"/>
        </w:rPr>
        <w:t>&lt;/Depute&gt;</w:t>
      </w:r>
    </w:p>
    <w:p w14:paraId="020DA5DB" w14:textId="77777777" w:rsidR="00A2451D" w:rsidRPr="00E62504" w:rsidRDefault="00461EDC" w:rsidP="00A2451D">
      <w:pPr>
        <w:pStyle w:val="CoverNormal"/>
      </w:pPr>
      <w:r w:rsidRPr="00E62504">
        <w:rPr>
          <w:rStyle w:val="HideTWBExt"/>
        </w:rPr>
        <w:t>&lt;Commission&gt;</w:t>
      </w:r>
      <w:r w:rsidRPr="00E62504">
        <w:rPr>
          <w:rStyle w:val="HideTWBInt"/>
          <w:color w:val="auto"/>
        </w:rPr>
        <w:t>{ECR}</w:t>
      </w:r>
      <w:r w:rsidRPr="00E62504">
        <w:t>for ECR-Gruppen</w:t>
      </w:r>
      <w:r w:rsidRPr="00E62504">
        <w:rPr>
          <w:rStyle w:val="HideTWBExt"/>
        </w:rPr>
        <w:t>&lt;/Commission&gt;</w:t>
      </w:r>
    </w:p>
    <w:p w14:paraId="60A07954" w14:textId="77777777" w:rsidR="00A2451D" w:rsidRPr="00E62504" w:rsidRDefault="00461EDC" w:rsidP="00A2451D">
      <w:pPr>
        <w:pStyle w:val="CoverBold"/>
      </w:pPr>
      <w:r w:rsidRPr="00E62504">
        <w:rPr>
          <w:rStyle w:val="HideTWBExt"/>
          <w:b w:val="0"/>
        </w:rPr>
        <w:t>&lt;Depute&gt;</w:t>
      </w:r>
      <w:r w:rsidRPr="00E62504">
        <w:t>Bernard Guetta, Petras Auštrevičius, Malik Azmani, Dan Barna, Ľubica Karvašová, Ilhan Kyuchyuk, Jan</w:t>
      </w:r>
      <w:r w:rsidRPr="00E62504">
        <w:noBreakHyphen/>
        <w:t>Christoph Oetjen, Urmas Paet, Pina Picierno, Marie</w:t>
      </w:r>
      <w:r w:rsidRPr="00E62504">
        <w:noBreakHyphen/>
        <w:t>Agnes Strack</w:t>
      </w:r>
      <w:r w:rsidRPr="00E62504">
        <w:noBreakHyphen/>
        <w:t>Zimmermann, Hilde Vautmans, Lucia Yar, Dainius Žalimas</w:t>
      </w:r>
      <w:r w:rsidRPr="00E62504">
        <w:rPr>
          <w:rStyle w:val="HideTWBExt"/>
          <w:b w:val="0"/>
          <w:color w:val="auto"/>
        </w:rPr>
        <w:t>&lt;/Depute&gt;</w:t>
      </w:r>
    </w:p>
    <w:p w14:paraId="075B8342" w14:textId="77777777" w:rsidR="00737093" w:rsidRPr="00E62504" w:rsidRDefault="00461EDC" w:rsidP="00737093">
      <w:pPr>
        <w:pStyle w:val="CoverNormal"/>
      </w:pPr>
      <w:r w:rsidRPr="00E62504">
        <w:rPr>
          <w:rStyle w:val="HideTWBExt"/>
        </w:rPr>
        <w:t>&lt;Commission&gt;</w:t>
      </w:r>
      <w:r w:rsidRPr="00E62504">
        <w:rPr>
          <w:rStyle w:val="HideTWBInt"/>
          <w:color w:val="auto"/>
        </w:rPr>
        <w:t>{Renew}</w:t>
      </w:r>
      <w:r w:rsidRPr="00E62504">
        <w:t>for Renew-Gruppen</w:t>
      </w:r>
      <w:r w:rsidRPr="00E62504">
        <w:rPr>
          <w:rStyle w:val="HideTWBExt"/>
        </w:rPr>
        <w:t>&lt;/Commission&gt;</w:t>
      </w:r>
    </w:p>
    <w:p w14:paraId="5CC72922" w14:textId="77777777" w:rsidR="00A2451D" w:rsidRPr="00E62504" w:rsidRDefault="00461EDC" w:rsidP="00A2451D">
      <w:pPr>
        <w:pStyle w:val="CoverBold"/>
      </w:pPr>
      <w:r w:rsidRPr="00E62504">
        <w:rPr>
          <w:rStyle w:val="HideTWBExt"/>
          <w:b w:val="0"/>
        </w:rPr>
        <w:t>&lt;Depute&gt;</w:t>
      </w:r>
      <w:r w:rsidRPr="00E62504">
        <w:t>Ville Niinistö, Sergey Lagodinsky</w:t>
      </w:r>
      <w:r w:rsidRPr="00E62504">
        <w:rPr>
          <w:rStyle w:val="HideTWBExt"/>
          <w:b w:val="0"/>
          <w:color w:val="auto"/>
        </w:rPr>
        <w:t>&lt;/Depute&gt;</w:t>
      </w:r>
    </w:p>
    <w:p w14:paraId="5F81D2FE" w14:textId="77777777" w:rsidR="00A2451D" w:rsidRPr="00E62504" w:rsidRDefault="00461EDC" w:rsidP="00A2451D">
      <w:pPr>
        <w:pStyle w:val="CoverNormal"/>
      </w:pPr>
      <w:r w:rsidRPr="00E62504">
        <w:rPr>
          <w:rStyle w:val="HideTWBExt"/>
        </w:rPr>
        <w:t>&lt;Commission&gt;</w:t>
      </w:r>
      <w:r w:rsidRPr="00E62504">
        <w:rPr>
          <w:rStyle w:val="HideTWBInt"/>
          <w:color w:val="auto"/>
        </w:rPr>
        <w:t>{Verts/ALE}</w:t>
      </w:r>
      <w:r w:rsidRPr="00E62504">
        <w:t>for Verts/ALE-Gruppen</w:t>
      </w:r>
      <w:r w:rsidRPr="00E62504">
        <w:rPr>
          <w:rStyle w:val="HideTWBExt"/>
        </w:rPr>
        <w:t>&lt;/Commission&gt;</w:t>
      </w:r>
    </w:p>
    <w:p w14:paraId="12884BB8" w14:textId="77777777" w:rsidR="00747149" w:rsidRPr="00E62504" w:rsidRDefault="00461EDC" w:rsidP="00747149">
      <w:pPr>
        <w:pStyle w:val="CoverBold"/>
      </w:pPr>
      <w:r w:rsidRPr="00E62504">
        <w:rPr>
          <w:rStyle w:val="HideTWBExt"/>
          <w:b w:val="0"/>
        </w:rPr>
        <w:t>&lt;Depute&gt;</w:t>
      </w:r>
      <w:r w:rsidRPr="00E62504">
        <w:t>Jussi Saramo, Li Andersson, Merja Kyllönen, Jonas Sjöstedt, Hanna Gedin</w:t>
      </w:r>
      <w:r w:rsidRPr="00E62504">
        <w:rPr>
          <w:rStyle w:val="HideTWBExt"/>
          <w:b w:val="0"/>
          <w:color w:val="auto"/>
        </w:rPr>
        <w:t>&lt;/Depute&gt;</w:t>
      </w:r>
    </w:p>
    <w:p w14:paraId="11CD8579" w14:textId="77777777" w:rsidR="00747149" w:rsidRPr="00E62504" w:rsidRDefault="00461EDC" w:rsidP="007E7F10">
      <w:pPr>
        <w:pStyle w:val="CoverNormal"/>
      </w:pPr>
      <w:r w:rsidRPr="00E62504">
        <w:rPr>
          <w:rStyle w:val="HideTWBExt"/>
        </w:rPr>
        <w:t>&lt;/RepeatBlock-By&gt;</w:t>
      </w:r>
    </w:p>
    <w:p w14:paraId="14862C35" w14:textId="77777777" w:rsidR="007F7251" w:rsidRPr="00E62504" w:rsidRDefault="007F7251" w:rsidP="007F7251">
      <w:pPr>
        <w:pStyle w:val="CoverNormal24a"/>
      </w:pPr>
    </w:p>
    <w:p w14:paraId="7A5A9809" w14:textId="77777777" w:rsidR="00AB70B2" w:rsidRPr="00E62504" w:rsidRDefault="00461EDC" w:rsidP="00AB70B2">
      <w:pPr>
        <w:pStyle w:val="NormalBold"/>
      </w:pPr>
      <w:r w:rsidRPr="00E62504">
        <w:br w:type="page"/>
      </w:r>
      <w:r w:rsidRPr="00E62504">
        <w:lastRenderedPageBreak/>
        <w:t>Europa-Parlamentets beslutning om det udemokratiske valg til den russiske statsduma i 2026 og konsekvenserne heraf for civilsamfundet</w:t>
      </w:r>
    </w:p>
    <w:p w14:paraId="0087869D" w14:textId="77777777" w:rsidR="00AB70B2" w:rsidRPr="00E62504" w:rsidRDefault="00461EDC" w:rsidP="00600326">
      <w:pPr>
        <w:pStyle w:val="NormalBold"/>
      </w:pPr>
      <w:r w:rsidRPr="00E62504">
        <w:t>(2026/2907(RSP))</w:t>
      </w:r>
    </w:p>
    <w:p w14:paraId="6A43D387" w14:textId="77777777" w:rsidR="009D33CF" w:rsidRPr="00E62504" w:rsidRDefault="00461EDC" w:rsidP="00600326">
      <w:pPr>
        <w:pStyle w:val="EPComma"/>
      </w:pPr>
      <w:r w:rsidRPr="00E62504">
        <w:rPr>
          <w:i/>
          <w:iCs/>
        </w:rPr>
        <w:t>Europa-Parlamentet</w:t>
      </w:r>
      <w:r w:rsidRPr="00E62504">
        <w:t>,</w:t>
      </w:r>
    </w:p>
    <w:p w14:paraId="4716DF79" w14:textId="77777777" w:rsidR="0031132A" w:rsidRPr="00E62504" w:rsidRDefault="00461EDC" w:rsidP="0031132A">
      <w:pPr>
        <w:pStyle w:val="NormalHanging12a"/>
      </w:pPr>
      <w:r w:rsidRPr="00E62504">
        <w:t>–</w:t>
      </w:r>
      <w:r w:rsidRPr="00E62504">
        <w:tab/>
        <w:t>der henviser til sine tidligere beslutninger om Rusland,</w:t>
      </w:r>
    </w:p>
    <w:p w14:paraId="53880CCF" w14:textId="77777777" w:rsidR="0031132A" w:rsidRPr="00E62504" w:rsidRDefault="00461EDC" w:rsidP="0031132A">
      <w:pPr>
        <w:pStyle w:val="NormalHanging12a"/>
      </w:pPr>
      <w:r w:rsidRPr="00E62504">
        <w:t>–</w:t>
      </w:r>
      <w:r w:rsidRPr="00E62504">
        <w:tab/>
        <w:t>der henviser til de internationale forpligtelser, som Rusland er bundet af i henhold til folkeretten,</w:t>
      </w:r>
    </w:p>
    <w:p w14:paraId="25603199" w14:textId="77777777" w:rsidR="0031132A" w:rsidRPr="00E62504" w:rsidRDefault="00461EDC" w:rsidP="0031132A">
      <w:pPr>
        <w:pStyle w:val="NormalHanging12a"/>
      </w:pPr>
      <w:r w:rsidRPr="00E62504">
        <w:t>–</w:t>
      </w:r>
      <w:r w:rsidRPr="00E62504">
        <w:tab/>
      </w:r>
      <w:r w:rsidRPr="00E62504">
        <w:t>der henviser til erklæringen af 21. september 2026 fra Unionens højtstående repræsentant for udenrigsanliggender og sikkerhedspolitik på EU's vegne om valget til den russiske statsduma, som blev afholdt den 18.</w:t>
      </w:r>
      <w:r w:rsidRPr="00E62504">
        <w:noBreakHyphen/>
        <w:t>20. september, og om dets ugyldighed på ukrainsk territorium,</w:t>
      </w:r>
    </w:p>
    <w:p w14:paraId="765B9099" w14:textId="77777777" w:rsidR="0031132A" w:rsidRPr="00E62504" w:rsidRDefault="00461EDC" w:rsidP="0031132A">
      <w:pPr>
        <w:pStyle w:val="NormalHanging12a"/>
      </w:pPr>
      <w:r w:rsidRPr="00E62504">
        <w:t>–</w:t>
      </w:r>
      <w:r w:rsidRPr="00E62504">
        <w:tab/>
      </w:r>
      <w:r w:rsidRPr="00E62504">
        <w:t>der henviser til erklæringen af 21. september 2026 fra MEP'erne Ville Niinistö, formand for Delegationen til Det Parlamentariske Samarbejdsudvalg EU‑Rusland, hvori han fordømmer parlamentsvalget i Rusland og dets illegitime afholdelse i de midlertidigt besatte dele af Ukraine,</w:t>
      </w:r>
    </w:p>
    <w:p w14:paraId="31C72B81" w14:textId="77777777" w:rsidR="0031132A" w:rsidRPr="00E62504" w:rsidRDefault="00461EDC" w:rsidP="0031132A">
      <w:pPr>
        <w:pStyle w:val="NormalHanging12a"/>
      </w:pPr>
      <w:r w:rsidRPr="00E62504">
        <w:t>–</w:t>
      </w:r>
      <w:r w:rsidRPr="00E62504">
        <w:tab/>
      </w:r>
      <w:r w:rsidRPr="00E62504">
        <w:t>der henviser til resolutionen af 29. september 2026 fra Europarådets Parlamentariske Forsamling om "Fake "elections" in Russia and its destabilising attacks on Europe" (fingerede "valg" i Rusland og dets destabiliserende angreb på Europa),</w:t>
      </w:r>
    </w:p>
    <w:p w14:paraId="40DCB952" w14:textId="77777777" w:rsidR="0031132A" w:rsidRPr="00E62504" w:rsidRDefault="00461EDC" w:rsidP="0031132A">
      <w:pPr>
        <w:pStyle w:val="NormalHanging12a"/>
      </w:pPr>
      <w:r w:rsidRPr="00E62504">
        <w:t>–</w:t>
      </w:r>
      <w:r w:rsidRPr="00E62504">
        <w:tab/>
      </w:r>
      <w:r w:rsidRPr="00E62504">
        <w:t>der henviser til erklæringen af 6. august 2026 fra Kontoret for Demokratiske Institutioner og Menneskerettigheder (ODIHR) under Organisationen for Sikkerhed og Samarbejde i Europa (OSCE) om Den Russiske Føderations beslutning om ikke at indbyde OSCE-observatører til at overvåge valget til den russiske statsduma,</w:t>
      </w:r>
    </w:p>
    <w:p w14:paraId="6EBE673D" w14:textId="77777777" w:rsidR="00F663C7" w:rsidRPr="00E62504" w:rsidRDefault="00461EDC" w:rsidP="0031132A">
      <w:pPr>
        <w:pStyle w:val="NormalHanging12a"/>
      </w:pPr>
      <w:r w:rsidRPr="00E62504">
        <w:t>–</w:t>
      </w:r>
      <w:r w:rsidRPr="00E62504">
        <w:tab/>
      </w:r>
      <w:r w:rsidRPr="00E62504">
        <w:t>der henviser til rapporten med titlen "Nowhere is safe: exporting the rule of fear beyond borders – transnational repression by the Russian Federation", som blev forelagt FN's Menneskerettighedsråd den 21. september 2026 af FN's særlige rapportør om menneskerettigheder i Rusland,</w:t>
      </w:r>
    </w:p>
    <w:p w14:paraId="198B70F2" w14:textId="77777777" w:rsidR="0031132A" w:rsidRPr="00E62504" w:rsidRDefault="00461EDC" w:rsidP="0031132A">
      <w:pPr>
        <w:pStyle w:val="NormalHanging12a"/>
      </w:pPr>
      <w:r w:rsidRPr="00E62504">
        <w:t>–</w:t>
      </w:r>
      <w:r w:rsidRPr="00E62504">
        <w:tab/>
        <w:t>der henviser til konventionen til beskyttelse af menneskerettigheder og grundlæggende frihedsrettigheder,</w:t>
      </w:r>
    </w:p>
    <w:p w14:paraId="1578A90B" w14:textId="77777777" w:rsidR="0031132A" w:rsidRPr="00E62504" w:rsidRDefault="00461EDC" w:rsidP="0031132A">
      <w:pPr>
        <w:pStyle w:val="NormalHanging12a"/>
      </w:pPr>
      <w:r w:rsidRPr="00E62504">
        <w:t>–</w:t>
      </w:r>
      <w:r w:rsidRPr="00E62504">
        <w:tab/>
        <w:t>der henviser til den internationale konvention om borgerlige og politiske rettigheder,</w:t>
      </w:r>
    </w:p>
    <w:p w14:paraId="50F9B627" w14:textId="77777777" w:rsidR="0031132A" w:rsidRPr="00E62504" w:rsidRDefault="00461EDC" w:rsidP="0031132A">
      <w:pPr>
        <w:pStyle w:val="NormalHanging12a"/>
      </w:pPr>
      <w:r w:rsidRPr="00E62504">
        <w:t>–</w:t>
      </w:r>
      <w:r w:rsidRPr="00E62504">
        <w:tab/>
      </w:r>
      <w:r w:rsidRPr="00E62504">
        <w:t>der henviser til OSCE's Københavnsdokument fra 1990,</w:t>
      </w:r>
    </w:p>
    <w:p w14:paraId="16CDE7FD" w14:textId="77777777" w:rsidR="0031132A" w:rsidRPr="00E62504" w:rsidRDefault="00461EDC" w:rsidP="0031132A">
      <w:pPr>
        <w:pStyle w:val="NormalHanging12a"/>
      </w:pPr>
      <w:r w:rsidRPr="00E62504">
        <w:t>–</w:t>
      </w:r>
      <w:r w:rsidRPr="00E62504">
        <w:tab/>
        <w:t>der henviser til Haagerkonventionen af 1907, særlig artikel 42 og 43,</w:t>
      </w:r>
    </w:p>
    <w:p w14:paraId="74498503" w14:textId="77777777" w:rsidR="0031132A" w:rsidRPr="00E62504" w:rsidRDefault="00461EDC" w:rsidP="0031132A">
      <w:pPr>
        <w:pStyle w:val="NormalHanging12a"/>
      </w:pPr>
      <w:r w:rsidRPr="00E62504">
        <w:t>–</w:t>
      </w:r>
      <w:r w:rsidRPr="00E62504">
        <w:tab/>
        <w:t>der henviser til den fjerde Genèvekonvention af 1949, særlig artikel 47,</w:t>
      </w:r>
    </w:p>
    <w:p w14:paraId="4380B575" w14:textId="77777777" w:rsidR="0031132A" w:rsidRPr="00E62504" w:rsidRDefault="00461EDC" w:rsidP="0031132A">
      <w:pPr>
        <w:pStyle w:val="NormalHanging12a"/>
      </w:pPr>
      <w:r w:rsidRPr="00E62504">
        <w:t>–</w:t>
      </w:r>
      <w:r w:rsidRPr="00E62504">
        <w:tab/>
        <w:t>der henviser til FN-pagten,</w:t>
      </w:r>
    </w:p>
    <w:p w14:paraId="3BBE1C9A" w14:textId="77777777" w:rsidR="0031132A" w:rsidRPr="00E62504" w:rsidRDefault="00461EDC" w:rsidP="0031132A">
      <w:pPr>
        <w:pStyle w:val="NormalHanging12a"/>
      </w:pPr>
      <w:r w:rsidRPr="00E62504">
        <w:lastRenderedPageBreak/>
        <w:t>–</w:t>
      </w:r>
      <w:r w:rsidRPr="00E62504">
        <w:tab/>
        <w:t>der henviser til forretningsordenens artikel 136, stk. 2 og 4,</w:t>
      </w:r>
    </w:p>
    <w:p w14:paraId="075C0449" w14:textId="77777777" w:rsidR="0031132A" w:rsidRPr="00E62504" w:rsidRDefault="00461EDC" w:rsidP="0031132A">
      <w:pPr>
        <w:pStyle w:val="NormalHanging12a"/>
      </w:pPr>
      <w:r w:rsidRPr="00E62504">
        <w:t>A.</w:t>
      </w:r>
      <w:r w:rsidRPr="00E62504">
        <w:tab/>
        <w:t>der henviser til, at det fingerede valg til den russiske statsduma, som blev afholdt den 18.</w:t>
      </w:r>
      <w:r w:rsidRPr="00E62504">
        <w:noBreakHyphen/>
      </w:r>
      <w:r w:rsidRPr="00E62504">
        <w:t>20. september 2026, var illegitimt og udemokratisk og blev afviklet uden nogen reel politisk konkurrence i et stadigt mere autoritært miljø præget af systematisk og institutionaliseret undertrykkelse; der henviser til, at Rusland fortsat fører en ulovlig angrebskrig mod Ukraine;</w:t>
      </w:r>
    </w:p>
    <w:p w14:paraId="701D0ACE" w14:textId="77777777" w:rsidR="0031132A" w:rsidRPr="00E62504" w:rsidRDefault="00461EDC" w:rsidP="0031132A">
      <w:pPr>
        <w:pStyle w:val="NormalHanging12a"/>
        <w:rPr>
          <w:bCs/>
        </w:rPr>
      </w:pPr>
      <w:r w:rsidRPr="00E62504">
        <w:t>B.</w:t>
      </w:r>
      <w:r w:rsidRPr="00E62504">
        <w:tab/>
      </w:r>
      <w:r w:rsidRPr="00E62504">
        <w:t>der henviser til, at der ulovligt blev afholdt såkaldte valg i de områder i Ukraine, der i øjeblikket er under russisk besættelse, nemlig på Krim og i byen Sevastopol, i dele af regionerne Donetsk, Luhansk, Zaporizjzja og Kherson, i den ulovligt besatte Transdnestrienregion i Republikken Moldova og de ulovligt besatte regioner Abkhasien og Sydossetien i Georgien;</w:t>
      </w:r>
    </w:p>
    <w:p w14:paraId="25347A12" w14:textId="77777777" w:rsidR="0031132A" w:rsidRPr="00E62504" w:rsidRDefault="00461EDC" w:rsidP="0031132A">
      <w:pPr>
        <w:pStyle w:val="NormalHanging12a"/>
      </w:pPr>
      <w:r w:rsidRPr="00E62504">
        <w:t>C.</w:t>
      </w:r>
      <w:r w:rsidRPr="00E62504">
        <w:tab/>
      </w:r>
      <w:r w:rsidRPr="00E62504">
        <w:t>der henviser til, at det fingerede valg til statsdumaen i 2026 var det første nationale parlamentsvalg, der blev afholdt under krigsforhold, og at det navnlig indebar en udvidelse af elektronisk stemmeafgivning til 33 regioner, flerdagesafstemning samt tvang og påtvungen valgdeltagelse i de midlertidigt besatte områder, hvilket resulterede i en fabrikeret valgdeltagelse på 59,58 % og et rekordstort flertal på 349 ud af 450 pladser (over 77 %) til regeringspartiet, Forenet Rusland;</w:t>
      </w:r>
    </w:p>
    <w:p w14:paraId="693BDA7B" w14:textId="77777777" w:rsidR="0031132A" w:rsidRPr="00E62504" w:rsidRDefault="00461EDC" w:rsidP="0031132A">
      <w:pPr>
        <w:pStyle w:val="NormalHanging12a"/>
      </w:pPr>
      <w:r w:rsidRPr="00E62504">
        <w:t>D.</w:t>
      </w:r>
      <w:r w:rsidRPr="00E62504">
        <w:tab/>
      </w:r>
      <w:r w:rsidRPr="00E62504">
        <w:t xml:space="preserve">der henviser til, at Ruslands autoritære styre i årtier har anvendt stadigt mere svigagtige og farceagtige valg til at skabe illusionen af et demokrati, alt imens magten blev koncentreret i hænderne på Vladimir Putin; </w:t>
      </w:r>
      <w:r w:rsidRPr="00E62504">
        <w:t>der henviser til, at regeringen undertrykker enhver meningsforskel bistået af loyale sikkerhedsstyrker, et servilt retsvæsen, et statskontrolleret mediemiljø, der sørger for uophørlig strøm af propaganda og desinformation, og en lovgivende magt bestående af ét regeringsparti og nogle føjelige oppositionsgrupperinger;</w:t>
      </w:r>
    </w:p>
    <w:p w14:paraId="383987A3" w14:textId="77777777" w:rsidR="0031132A" w:rsidRPr="00E62504" w:rsidRDefault="00461EDC" w:rsidP="0031132A">
      <w:pPr>
        <w:pStyle w:val="NormalHanging12a"/>
        <w:rPr>
          <w:bCs/>
        </w:rPr>
      </w:pPr>
      <w:r w:rsidRPr="00E62504">
        <w:t>E.</w:t>
      </w:r>
      <w:r w:rsidRPr="00E62504">
        <w:tab/>
      </w:r>
      <w:r w:rsidRPr="00E62504">
        <w:t xml:space="preserve">der henviser til, at de russiske myndigheder systematisk har udelukket demokratiske oppositionskræfter fra reel politisk konkurrence, og at oppositionspolitikere er blevet fængslet, tvunget i landflygtighed eller erklæret uvalgbare; </w:t>
      </w:r>
      <w:r w:rsidRPr="00E62504">
        <w:t xml:space="preserve">der henviser til, at udelukkelsen af partiet Jablokos kandidater fra den føderale opstillingsliste yderligere indskrænkede de russiske vælgeres valgmuligheder og eliminerede en af de sidste tilbageværende oppositionskræfter fra valgprocessen og det eneste registrerede parti, som ifølge sit valgprogram er imod krigen; </w:t>
      </w:r>
      <w:r w:rsidRPr="00E62504">
        <w:t>der henviser til, at politiske personligheder, som er erklærede krigsmodstandere, deriblandt Jablokos næstformænd Maksim Kruglov og Lev Sjlosberg, er blevet fængslet, og at fremtrædende partimedlemmer, deriblandt Nikolaj Rybakov, Boris Visjnevskij og Vladimir Dorokhov, er blevet angrebet, stemplet som "udenlandske agenter" eller erklæret uvalgbare;</w:t>
      </w:r>
    </w:p>
    <w:p w14:paraId="121541B9" w14:textId="77777777" w:rsidR="0031132A" w:rsidRPr="00E62504" w:rsidRDefault="00461EDC" w:rsidP="0031132A">
      <w:pPr>
        <w:pStyle w:val="NormalHanging12a"/>
      </w:pPr>
      <w:r w:rsidRPr="00E62504">
        <w:t>F.</w:t>
      </w:r>
      <w:r w:rsidRPr="00E62504">
        <w:tab/>
      </w:r>
      <w:r w:rsidRPr="00E62504">
        <w:t>der henviser til, at der har været talrige meldinger om valgsvindel, herunder falske valgsedler, statistiske misligheder, stemmeafgivning ved fuldmagt samt abnormt høj valgdeltagelse;</w:t>
      </w:r>
    </w:p>
    <w:p w14:paraId="548710F3" w14:textId="77777777" w:rsidR="0031132A" w:rsidRPr="00E62504" w:rsidRDefault="00461EDC" w:rsidP="0031132A">
      <w:pPr>
        <w:pStyle w:val="NormalHanging12a"/>
        <w:rPr>
          <w:bCs/>
        </w:rPr>
      </w:pPr>
      <w:r w:rsidRPr="00E62504">
        <w:t>G.</w:t>
      </w:r>
      <w:r w:rsidRPr="00E62504">
        <w:tab/>
        <w:t xml:space="preserve">der henviser til, at Den Russiske Føderation bevidst og gentagne gange har forment internationale observatører adgang ved at afvise at indbyde OSCE/ODIHR eller OSCE's Parlamentariske Forsamling til at overvåge valget, trods landets forpligtelser i henhold </w:t>
      </w:r>
      <w:r w:rsidRPr="00E62504">
        <w:lastRenderedPageBreak/>
        <w:t xml:space="preserve">til Københavndokumentet af 1990; </w:t>
      </w:r>
      <w:r w:rsidRPr="00E62504">
        <w:t>der henviser til, at ændringer af Ruslands valglove har gjort det praktisk talt umuligt at udføre nogen meningsfuld valgovervågning; der henviser til, at parlamentsvalget den 18.</w:t>
      </w:r>
      <w:r w:rsidRPr="00E62504">
        <w:noBreakHyphen/>
        <w:t>20. september 2026 var den tredje landsdækkende valgproces i træk, som blev afholdt uden nogen upartiske og uafhængige international valgobservatører til stede;</w:t>
      </w:r>
    </w:p>
    <w:p w14:paraId="5CA223B3" w14:textId="77777777" w:rsidR="0031132A" w:rsidRPr="00E62504" w:rsidRDefault="00461EDC" w:rsidP="0031132A">
      <w:pPr>
        <w:pStyle w:val="NormalHanging12a"/>
        <w:rPr>
          <w:bCs/>
        </w:rPr>
      </w:pPr>
      <w:r w:rsidRPr="00E62504">
        <w:t>H.</w:t>
      </w:r>
      <w:r w:rsidRPr="00E62504">
        <w:tab/>
      </w:r>
      <w:r w:rsidRPr="00E62504">
        <w:t>der henviser til, at det russiske regime under Vladimir Putins stadigt mere autoritære styre systematisk undertrykker enhver form for meningsforskel og nægter russiske borgere nogen meningsfuld deltagelse i det politiske liv og deres grundlæggende frihedsrettigheder gennem forfølgelse af oppositionspolitikere, civilsamfundsorganisationer og uafhængige medier, intimidering, kriminalisering og systematisk og institutionaliseret undertrykkelse, politisk motiverede retssager og vilkårlige og fængselsstraffe und</w:t>
      </w:r>
      <w:r w:rsidRPr="00E62504">
        <w:t>er umenneskelige fængselsforhold, samtidig med at de demokratiske principper, forfatningsmæssige garantier og retten til reel demokratisk repræsentation undergraves mere og mere;</w:t>
      </w:r>
    </w:p>
    <w:p w14:paraId="534079AB" w14:textId="77777777" w:rsidR="0031132A" w:rsidRPr="00E62504" w:rsidRDefault="00461EDC" w:rsidP="0031132A">
      <w:pPr>
        <w:pStyle w:val="NormalHanging12a"/>
        <w:rPr>
          <w:bCs/>
        </w:rPr>
      </w:pPr>
      <w:r w:rsidRPr="00E62504">
        <w:t>I.</w:t>
      </w:r>
      <w:r w:rsidRPr="00E62504">
        <w:tab/>
        <w:t>der henviser til, at den anden dialog i Bruxelles med russiske demokratiforkæmpere og krigsmodstandere blev afholdt i Europa-Parlamentet den 23. juni 2026;</w:t>
      </w:r>
    </w:p>
    <w:p w14:paraId="6B8887AF" w14:textId="77777777" w:rsidR="0031132A" w:rsidRPr="00E62504" w:rsidRDefault="00461EDC" w:rsidP="0031132A">
      <w:pPr>
        <w:pStyle w:val="NormalHanging12a"/>
      </w:pPr>
      <w:r w:rsidRPr="00E62504">
        <w:t>J.</w:t>
      </w:r>
      <w:r w:rsidRPr="00E62504">
        <w:tab/>
        <w:t>der henviser til, at valget blev afholdt under Ruslands igangværende ulovlige, uprovokerede og uberettigede angrebskrig mod Ukraine, som på gennemgribende vis har påvirket det politiske og retlige miljø i Den Russiske Føderation, idet der i kølvandet herpå er sket en optrapning af undertrykkelsen af landets oppositionelle;</w:t>
      </w:r>
    </w:p>
    <w:p w14:paraId="6FCA3A5C" w14:textId="77777777" w:rsidR="0031132A" w:rsidRPr="00E62504" w:rsidRDefault="00461EDC" w:rsidP="0031132A">
      <w:pPr>
        <w:pStyle w:val="NormalHanging12a"/>
      </w:pPr>
      <w:r w:rsidRPr="00E62504">
        <w:t>K.</w:t>
      </w:r>
      <w:r w:rsidRPr="00E62504">
        <w:tab/>
      </w:r>
      <w:r w:rsidRPr="00E62504">
        <w:t>der henviser til, at Europarådets Parlamentariske Forsamling i sin resolution med titlen "Fake" elections "in Russia and its destabilising attacks on Europe" (fingerede "valg" i Rusland og dets destabiliserende angreb på Europa) på det kraftigste fordømmer valgets udemokratiske og illegitime karakter; der henviser til, at resolutionen også udtrykker forsamlingens kraftige fordømmelse af Ruslands ubønhørlige og brutale anslag mod Ukraine og dets hybridkrig mod EU's medlemsstater;</w:t>
      </w:r>
    </w:p>
    <w:p w14:paraId="3C2DC9F1" w14:textId="77777777" w:rsidR="0031132A" w:rsidRPr="00E62504" w:rsidRDefault="00461EDC" w:rsidP="0031132A">
      <w:pPr>
        <w:pStyle w:val="NormalHanging12a"/>
      </w:pPr>
      <w:r w:rsidRPr="00E62504">
        <w:t>L.</w:t>
      </w:r>
      <w:r w:rsidRPr="00E62504">
        <w:tab/>
      </w:r>
      <w:r w:rsidRPr="00E62504">
        <w:t>der henviser til, at det russiske styre i stigende grad har udvidet sine aktivitet uden for landets grænser i en systematisk tværnational undertrykkelseskampagne, hvilket er dokumenteret i FN's særlige rapportørs rapport af 21. september 2026 med titlen "Nowhere is safe", hvori der opregnes op imod 400 tilfælde af målrettet fysisk vold, likvidering, forgiftning (bl.a. af Jelena Kostjutjenko, Irina Bablojan og Natalija Arno), det nylige mord på dissidenten og karikaturtegneren Semjon Skrepetskij i Polen, mis</w:t>
      </w:r>
      <w:r w:rsidRPr="00E62504">
        <w:t>brug af Interpols efterlysningsblade og spredning af Rosfinmonitorings liste over "ekstremister" gennem finansielle databaser såsom LSEG World</w:t>
      </w:r>
      <w:r w:rsidRPr="00E62504">
        <w:noBreakHyphen/>
        <w:t>Check for at indefryse dissidenters bankkonti verden over;</w:t>
      </w:r>
    </w:p>
    <w:p w14:paraId="43A8F965" w14:textId="77777777" w:rsidR="0031132A" w:rsidRPr="00E62504" w:rsidRDefault="00461EDC" w:rsidP="0031132A">
      <w:pPr>
        <w:pStyle w:val="NormalHanging12a"/>
      </w:pPr>
      <w:r w:rsidRPr="00E62504">
        <w:t>M.</w:t>
      </w:r>
      <w:r w:rsidRPr="00E62504">
        <w:tab/>
        <w:t>der henviser til, at det russiske styre har slået hårdt ned på veletablerede menneskerettighedsorganisationer ved at betegne dem som "ekstremistiske" og samtidig kriminalisere fremtrædende miljøorganisationer såsom Greenpeace International, WWF International og Bellona som "uønskede organisationer" og erstatte dem med statskontrollerede ikkestatslige organisationer inden for rammerne af en "suveræn økologi";</w:t>
      </w:r>
    </w:p>
    <w:p w14:paraId="44745F2C" w14:textId="77777777" w:rsidR="0031132A" w:rsidRPr="00E62504" w:rsidRDefault="00461EDC" w:rsidP="0031132A">
      <w:pPr>
        <w:pStyle w:val="NormalHanging12a"/>
      </w:pPr>
      <w:r w:rsidRPr="00E62504">
        <w:lastRenderedPageBreak/>
        <w:t>1.</w:t>
      </w:r>
      <w:r w:rsidRPr="00E62504">
        <w:tab/>
      </w:r>
      <w:r w:rsidRPr="00E62504">
        <w:t>beklager, at det fingerede valg til den russiske statsduma, som blev afholdt den 18.</w:t>
      </w:r>
      <w:r w:rsidRPr="00E62504">
        <w:noBreakHyphen/>
        <w:t xml:space="preserve">20. september 2026, hverken var frit eller retfærdigt, krænkede grundlæggende internationale valgstandarder, manglede demokratisk legitimitet og var et rent proformavalg, der blev iscenesat i en tilstand af undertrykkelse, hvorved borgerne er blevet frarøvet deres forfatningsmæssige ret til et frit og demokratisk valg; </w:t>
      </w:r>
      <w:r w:rsidRPr="00E62504">
        <w:t>beklager, at Ruslands opposition, civilsamfund og uafhængige medier er blevet brutalt undertrykt, og at regimekritikere er blevet fængslet, likvideret eller tvunget i landflygtighed;</w:t>
      </w:r>
    </w:p>
    <w:p w14:paraId="3F73FFC3" w14:textId="77777777" w:rsidR="0031132A" w:rsidRPr="00E62504" w:rsidRDefault="00461EDC" w:rsidP="0031132A">
      <w:pPr>
        <w:pStyle w:val="NormalHanging12a"/>
      </w:pPr>
      <w:r w:rsidRPr="00E62504">
        <w:t>2.</w:t>
      </w:r>
      <w:r w:rsidRPr="00E62504">
        <w:tab/>
        <w:t>fordømmer alle de valgkrænkelser, der blev begået af Vladimir Putins regime under det russiske parlamentsvalg den 18.</w:t>
      </w:r>
      <w:r w:rsidRPr="00E62504">
        <w:noBreakHyphen/>
        <w:t xml:space="preserve">20. september 2026, samt den forudgående mangeårige og forsætlige udslettelse af enhver rest af demokrati i Rusland; </w:t>
      </w:r>
      <w:r w:rsidRPr="00E62504">
        <w:t>understreger, at de officielt udmeldte tal for valgdeltagelse og valgresultat ikke kan betragtes som troværdige beviser på nogen folkelig opbakning til det nuværende styre, dets politik eller Ruslands angrebskrig mod Ukraine;</w:t>
      </w:r>
      <w:r w:rsidRPr="00E62504">
        <w:rPr>
          <w:i/>
        </w:rPr>
        <w:t xml:space="preserve"> </w:t>
      </w:r>
      <w:r w:rsidRPr="00E62504">
        <w:t xml:space="preserve">understreger, at Ruslands fingerede valg blev afholdt i et klima præget af frygt og intimidering og mod baggrund af en ulovlig, uprovokeret og uberettiget angrebskrig mod Ukraine; </w:t>
      </w:r>
      <w:r w:rsidRPr="00E62504">
        <w:t>bemærker, at der under det fingerede valg ikke fandtes nogen reelle alternative kandidater, ingen frie medier, ingen troværdige observatører og ingen politiske frihedsrettigheder; konkluderer, at valget var illegitimt og udemokratisk;</w:t>
      </w:r>
    </w:p>
    <w:p w14:paraId="6027C171" w14:textId="77777777" w:rsidR="0031132A" w:rsidRPr="00E62504" w:rsidRDefault="00461EDC" w:rsidP="0031132A">
      <w:pPr>
        <w:pStyle w:val="NormalHanging12a"/>
      </w:pPr>
      <w:r w:rsidRPr="00E62504">
        <w:t>3.</w:t>
      </w:r>
      <w:r w:rsidRPr="00E62504">
        <w:tab/>
        <w:t>fordømmer, at der er blevet afholdt såkaldte valg på Krim og i dele af regionerne Donetsk, Kherson, Luhansk og Zaporizjzja, som midlertidigt er besat af Rusland;</w:t>
      </w:r>
    </w:p>
    <w:p w14:paraId="7034F193" w14:textId="77777777" w:rsidR="0031132A" w:rsidRPr="00E62504" w:rsidRDefault="00461EDC" w:rsidP="0031132A">
      <w:pPr>
        <w:pStyle w:val="NormalHanging12a"/>
      </w:pPr>
      <w:r w:rsidRPr="00E62504">
        <w:t>4.</w:t>
      </w:r>
      <w:r w:rsidRPr="00E62504">
        <w:tab/>
      </w:r>
      <w:r w:rsidRPr="00E62504">
        <w:t>fordømmer afholdelsen af valg i Transdnestrienområdet i Republikken Moldova og oprettelsen af russiske valgsteder i den georgiske landsdel Abkhasien og Tskhinvali i den georgiske landsdel Sydossetien; gentager sin ufravigelige støtte til Georgiens og Republikken Moldovas suverænitet og territoriale integritet inden for deres internationalt anerkendte grænser og beklager de fortsatte overgreb mod og undertrykkelsen af indbyggerne i disse midlertidigt besatte områder;</w:t>
      </w:r>
    </w:p>
    <w:p w14:paraId="3A249953" w14:textId="77777777" w:rsidR="0031132A" w:rsidRPr="00E62504" w:rsidRDefault="00461EDC" w:rsidP="0031132A">
      <w:pPr>
        <w:pStyle w:val="NormalHanging12a"/>
      </w:pPr>
      <w:r w:rsidRPr="00E62504">
        <w:t>5.</w:t>
      </w:r>
      <w:r w:rsidRPr="00E62504">
        <w:tab/>
      </w:r>
      <w:r w:rsidRPr="00E62504">
        <w:t xml:space="preserve">afviser at anerkende den russiske statsduma som Den Russiske Føderations retmæssige repræsentant og lovgivende instans og afviser at anerkende nogen retlige eller politiske konsekvenser af Ruslands ulovlige afholdelse af såkaldte valg i de midlertidigt besatte dele af Ukraine; fordømmer indsættelsen i den nye statsduma af 46 personer, der enten har tjenestegjort i de russiske invasionsstyrker i Ukraine eller har beklædt stillinger i besættelsesmagtens forvaltningsapparat; </w:t>
      </w:r>
      <w:r w:rsidRPr="00E62504">
        <w:t xml:space="preserve">bemærker, at Nursultan Mussagaleev, som de ukrainske myndigheder har anklaget for i 2022 at have beordret tortur og henrettelse af en civil nær Butja, er blandt de indvalgte personer; fordømmer de menneskerettighedskrænkelser, der er begået af den russiske besættelsesmagt, og som har tvunget ukrainske statsborgere på ukrainsk territorium til at lade sig registrere som vælgere og stemme til det fingerede valg til Ruslands statsduma; </w:t>
      </w:r>
      <w:r w:rsidRPr="00E62504">
        <w:t>opfordrer Rådet og medlemsstaterne til at indtage samme holdning med hensyn til anerkendelse; opfordrer EU's institutioner og medlemsstater til at afstå fra enhver officiel kontakt med den nyvalgte statsduma og dens medlemmer, til at modsætte sig deres deltagelse i interparlamentariske forsamlinger og til at anse enhver retsakt eller beslutning fra statsdumaens side til lovgivning om, annektering af eller ratificering af status for de midlertidigt besatte ukrainske landsdele, for at være uden retskraft;</w:t>
      </w:r>
    </w:p>
    <w:p w14:paraId="291AE7FC" w14:textId="77777777" w:rsidR="0031132A" w:rsidRPr="00E62504" w:rsidRDefault="00461EDC" w:rsidP="0031132A">
      <w:pPr>
        <w:pStyle w:val="NormalHanging12a"/>
      </w:pPr>
      <w:r w:rsidRPr="00E62504">
        <w:lastRenderedPageBreak/>
        <w:t>6.</w:t>
      </w:r>
      <w:r w:rsidRPr="00E62504">
        <w:tab/>
      </w:r>
      <w:r w:rsidRPr="00E62504">
        <w:t xml:space="preserve">fremholder, at de russiske statsinstitutioners beslutning om ikke at indbyde OSCE/ODIHR's valgobservationsmission til at overvåge valget yderligere underbygger de russiske statsinstitutioners illegitimitet; bemærker med foruroligelse fraværet af indenlandske valgobservatører efter vedvarende pres på og i sidste ende tvangslukning af russiske valgobservatørorganisationer, bl.a. Golos; </w:t>
      </w:r>
      <w:r w:rsidRPr="00E62504">
        <w:t>opfordrer til øjeblikkeligt og betingelsesløst at løslade Grigorij Melkonjants, medformand for Golos, og de øvrige valgobservatører, der er blevet fængslet eller forfulgt på grund af deres arbejde;</w:t>
      </w:r>
    </w:p>
    <w:p w14:paraId="0842786E" w14:textId="77777777" w:rsidR="0031132A" w:rsidRPr="00E62504" w:rsidRDefault="00461EDC" w:rsidP="0031132A">
      <w:pPr>
        <w:pStyle w:val="NormalHanging12a"/>
      </w:pPr>
      <w:r w:rsidRPr="00E62504">
        <w:t>7.</w:t>
      </w:r>
      <w:r w:rsidRPr="00E62504">
        <w:tab/>
        <w:t xml:space="preserve">fordømmer det retslige forbud mod partiet Jabloko, den vilkårlige udelukkelse af kandidater og den systemiske kriminalisering af krigsmodstandere i Rusland; </w:t>
      </w:r>
      <w:r w:rsidRPr="00E62504">
        <w:t>kræver øjeblikkelig, betingelsesløs løsladelse og fuld politisk rehabilitering af alle politiske fanger, menneskerettighedsforkæmpere, krigsmodstandere, journalister og tilbageholdte mindreårige i Rusland, deriblandt Aleksej Gorinov, Lev Sjlosberg, Maksim Kruglov, Marija Ponomarenko og Aleksandr Kynev, og opfordrer indtrængende de russiske myndigheder til at sikre dem øjeblikkelig adgang til uafhængig lægebehandling;</w:t>
      </w:r>
    </w:p>
    <w:p w14:paraId="7912CB2E" w14:textId="77777777" w:rsidR="0031132A" w:rsidRPr="00E62504" w:rsidRDefault="00461EDC" w:rsidP="0031132A">
      <w:pPr>
        <w:pStyle w:val="NormalHanging12a"/>
      </w:pPr>
      <w:r w:rsidRPr="00E62504">
        <w:t>8.</w:t>
      </w:r>
      <w:r w:rsidRPr="00E62504">
        <w:tab/>
      </w:r>
      <w:r w:rsidRPr="00E62504">
        <w:t>fordømmer de russiske myndigheders fortsatte undertrykkelse af enhver form for regimekritisk ytring, bl.a. gennem undertrykkende lovgivning og politisk motiverede fængselsstraffe rettet mod oppositionspolitikere, civilsamfundsorganisationer, menneskerettighedsforkæmpere og uafhængige medier; minder om, at den uretmæssige lov om "udenlandske agenter", som blev vedtaget i 2012, i alvorlig grad har indskrænket det russiske civilsamfunds råderum;</w:t>
      </w:r>
    </w:p>
    <w:p w14:paraId="61099EE4" w14:textId="77777777" w:rsidR="0031132A" w:rsidRPr="00E62504" w:rsidRDefault="00461EDC" w:rsidP="0031132A">
      <w:pPr>
        <w:pStyle w:val="NormalHanging12a"/>
        <w:rPr>
          <w:bCs/>
        </w:rPr>
      </w:pPr>
      <w:r w:rsidRPr="00E62504">
        <w:t>9.</w:t>
      </w:r>
      <w:r w:rsidRPr="00E62504">
        <w:tab/>
      </w:r>
      <w:r w:rsidRPr="00E62504">
        <w:t xml:space="preserve">tilkendegiver sin solidaritet med de russiske statsborgere, som på trods af den nationale og tværnationale undertrykkelse og de alvorlige personlige konsekvenser for dem og deres pårørende fortsat finder mod til at fortælle sandheden om Ruslands brutale og ulovlige angrebskrig mod Ukraine, værne om menneskelige værdier såsom værdighed, respekt og medfølelse og vise verden, at der findes et andet Rusland; </w:t>
      </w:r>
      <w:r w:rsidRPr="00E62504">
        <w:t>minder om den brutale likvidering af Aleksej Navalnyj og indskærper endnu en gang, at det russiske styre og Putin personligt bærer det politiske og strafferetlige ansvar for dødsfald blandt oppositionelle; udtrykker sin solidaritet med ofrene for politisk undertrykkelse og sin støtte til uafhængige journalister, menneskerettighedsforkæmpere og civilsamfundsaktører, der modsætter sig Ruslands aggression og undertrykkelse;</w:t>
      </w:r>
    </w:p>
    <w:p w14:paraId="49218258" w14:textId="77777777" w:rsidR="0031132A" w:rsidRPr="00E62504" w:rsidRDefault="00461EDC" w:rsidP="0031132A">
      <w:pPr>
        <w:pStyle w:val="NormalHanging12a"/>
      </w:pPr>
      <w:r w:rsidRPr="00E62504">
        <w:t>10.</w:t>
      </w:r>
      <w:r w:rsidRPr="00E62504">
        <w:tab/>
      </w:r>
      <w:r w:rsidRPr="00E62504">
        <w:t>opfordrer indtrængende til en EU-indsats mod tværnational undertrykkelse, der understøtter FN's særlige rapportørs henstilling om en bindende FN-konvention om tværnational undertrykkelse; opfordrer indtrængende medlemsstaterne til at undersøge russiske grænseoverskridende trusler, granske russiskudstedte Interpol-efterlysningsblade og kræve, at finansinstitutioner ophører med at anvende Rosfinmonitorings politisk motiverede lister over "ekstremister";</w:t>
      </w:r>
    </w:p>
    <w:p w14:paraId="25924AEE" w14:textId="77777777" w:rsidR="0031132A" w:rsidRPr="00E62504" w:rsidRDefault="00461EDC" w:rsidP="0031132A">
      <w:pPr>
        <w:pStyle w:val="NormalHanging12a"/>
      </w:pPr>
      <w:r w:rsidRPr="00E62504">
        <w:t>11.</w:t>
      </w:r>
      <w:r w:rsidRPr="00E62504">
        <w:tab/>
      </w:r>
      <w:r w:rsidRPr="00E62504">
        <w:t xml:space="preserve">opfordrer til fortsat støtte til demokratibevægelsen i Rusland, herunder uafhængige journalister, menneskerettighedsforkæmpere og reformvenlige kræfter blandt den politiske opposition, som arbejder for en demokratisk fremtid for Rusland og åbent protesterer mod Ruslands angrebskrig mod Ukraine og Ruslands hybridkrig mod europæiske demokratier; </w:t>
      </w:r>
      <w:r w:rsidRPr="00E62504">
        <w:t xml:space="preserve">fremhæver, at russiske demokratiforkæmpere og krigsmodstandere i udlandet kun kan være troværdige partnere, hvis de utvetydigt </w:t>
      </w:r>
      <w:r w:rsidRPr="00E62504">
        <w:lastRenderedPageBreak/>
        <w:t xml:space="preserve">anerkender Ukraines suverænitet og territoriale integritet inden for dets internationalt anerkendte grænser og støtter op om ansvarliggørelse og krigsskadeserstatning; </w:t>
      </w:r>
      <w:r w:rsidRPr="00E62504">
        <w:t>opfordrer EU og dets medlemsstater til at øge deres støtte til krigsmodstandere og demokratiforkæmpere i det russiske civilsamfund, demokratiske aktører og uafhængige russisksprogede medier, bl.a. ved at befordre adgangen til ucensureret information i Rusland; opfordrer Kommissionen til at sikre tilstrækkelig langsigtet finansiering heraf;</w:t>
      </w:r>
    </w:p>
    <w:p w14:paraId="78514195" w14:textId="77777777" w:rsidR="0031132A" w:rsidRPr="00E62504" w:rsidRDefault="00461EDC" w:rsidP="0031132A">
      <w:pPr>
        <w:pStyle w:val="NormalHanging12a"/>
      </w:pPr>
      <w:r w:rsidRPr="00E62504">
        <w:t>12.</w:t>
      </w:r>
      <w:r w:rsidRPr="00E62504">
        <w:tab/>
      </w:r>
      <w:r w:rsidRPr="00E62504">
        <w:t xml:space="preserve">henviser til, at FN's særlige rapportør om menneskerettigheder i Rusland, Marijana Katsarova, har rapporteret, at den indenlandske undertrykkelse har nået alarmerende niveauer, idet der nu er over 4 000 politiske fanger, over 1 200 enkeltpersoner og organisationer er stemplet som "udenlandske agenter", over 350 organisationer er blevet forbudt og erklæret for "uønskede", og der er ført over 5 000 politisk motiverede straffesager; </w:t>
      </w:r>
      <w:r w:rsidRPr="00E62504">
        <w:t>beklager, at over 100 mindreårige i øjeblikket er tilbageholdt på grundlag af politiske anklager eller terroranklager, at Rusland ligger på tredjepladsen i verden for så vidt angår antallet af fængslede journalister, hvoraf næsten en tredjedel er ukrainske statsborgere, deriblandt Іryna Danylovytj, og at brugen af tortur er udbredt og systematisk;</w:t>
      </w:r>
    </w:p>
    <w:p w14:paraId="604DE903" w14:textId="77777777" w:rsidR="0031132A" w:rsidRPr="00E62504" w:rsidRDefault="00461EDC" w:rsidP="0031132A">
      <w:pPr>
        <w:pStyle w:val="NormalHanging12a"/>
      </w:pPr>
      <w:r w:rsidRPr="00E62504">
        <w:t>13.</w:t>
      </w:r>
      <w:r w:rsidRPr="00E62504">
        <w:tab/>
      </w:r>
      <w:r w:rsidRPr="00E62504">
        <w:t xml:space="preserve">fremhæver, at det som forudsætning for at afstedkomme et gennemgribende politisk kursskifte i retning af ægte demokrati i Rusland er afgørende, at landet lider nederlag i sin krig mod Ukraine, at Ukraines suverænitet og territoriale integritet bliver genoprettet og at Rusland opgiver sine imperialistiske ambitioner; </w:t>
      </w:r>
      <w:r w:rsidRPr="00E62504">
        <w:t>gentager, at Ruslands uindskrænkede invasion af Ukraine og dets systematiske undertrykkelse af sine egen befolkning er gensidigt forstærkende fænomener, som begge hjælper det russiske styre til at beholde magten;</w:t>
      </w:r>
    </w:p>
    <w:p w14:paraId="27F109E8" w14:textId="77777777" w:rsidR="0031132A" w:rsidRPr="00E62504" w:rsidRDefault="00461EDC" w:rsidP="0031132A">
      <w:pPr>
        <w:pStyle w:val="NormalHanging12a"/>
      </w:pPr>
      <w:r w:rsidRPr="00E62504">
        <w:t>14.</w:t>
      </w:r>
      <w:r w:rsidRPr="00E62504">
        <w:tab/>
        <w:t xml:space="preserve">gentager sin uforbeholdne støtte til Ukraines uafhængighed, suverænitet og territoriale integritet inden for landets internationalt anerkendte grænser; </w:t>
      </w:r>
      <w:r w:rsidRPr="00E62504">
        <w:t xml:space="preserve">kræver, at Rusland og dets stedfortræderstyrker øjeblikkeligt, fuldstændigt og betingelsesløst indstiller alle deres militæraktioner i Ukraine, indstiller alle deres angreb på beboelsesområder og civil infrastruktur, trækker alle militærstyrker, stedfortræderaktører og militærudstyr tilbage fra hele Ukraines internationalt anerkendte territorium og frigiver og repatrierer alle krigsfanger, politiske fanger og bortførte børn og civile; </w:t>
      </w:r>
      <w:r w:rsidRPr="00E62504">
        <w:t>understreger, at det russiske styre til stadighed udviser en ufattelig brutalitet gennem sine angreb på civile mål i Ukraine; og at den humanitære situation i de russiskbesatte områder fortsat er katastrofal, navnlig i byen Oleshky, som i øjeblikket er under belejring, og hvor civilbefolkningen, herunder børn, fortsat er afskåret fra omverdenen uden tilstrækkelig mad, medicin, lægebehandling, rindende vand eller strømforsyning;</w:t>
      </w:r>
    </w:p>
    <w:p w14:paraId="6515DFBF" w14:textId="77777777" w:rsidR="0031132A" w:rsidRPr="00E62504" w:rsidRDefault="00461EDC" w:rsidP="0031132A">
      <w:pPr>
        <w:pStyle w:val="NormalHanging12a"/>
      </w:pPr>
      <w:r w:rsidRPr="00E62504">
        <w:t>15.</w:t>
      </w:r>
      <w:r w:rsidRPr="00E62504">
        <w:tab/>
      </w:r>
      <w:r w:rsidRPr="00E62504">
        <w:t>bifalder den anden dialog i Bruxelles med russiske demokratiforkæmpere og krigsmodstandere, som blev afholdt i Europa-Parlamentet i juni 2026;</w:t>
      </w:r>
    </w:p>
    <w:p w14:paraId="133593C2" w14:textId="77777777" w:rsidR="0031132A" w:rsidRPr="00E62504" w:rsidRDefault="00461EDC" w:rsidP="0031132A">
      <w:pPr>
        <w:pStyle w:val="NormalHanging12a"/>
      </w:pPr>
      <w:r w:rsidRPr="00E62504">
        <w:t>16.</w:t>
      </w:r>
      <w:r w:rsidRPr="00E62504">
        <w:tab/>
        <w:t xml:space="preserve">glæder sig over, at Rådet har vedtaget restriktive foranstaltninger over for 10 personer for deres støtte til den systematiske og institutionaliserede undertrykkelse af den demokratiske opposition og for at have undergravet demokratiet og retsstatsprincippet i Rusland; </w:t>
      </w:r>
      <w:r w:rsidRPr="00E62504">
        <w:t xml:space="preserve">opfordrer medlemsstaterne til at indføre omfattende restriktive EU-foranstaltninger over for yderligere personer og enheder, som har medvirket til politisk </w:t>
      </w:r>
      <w:r w:rsidRPr="00E62504">
        <w:lastRenderedPageBreak/>
        <w:t xml:space="preserve">forfølgelse og til Ruslands brutale angrebskrig mod Ukraine; opfordrer til at træffe alle nødvendige foranstaltninger for at forhindre sanktionsomgåelse; </w:t>
      </w:r>
      <w:r w:rsidRPr="00E62504">
        <w:t>roser Rådet for ovennævnte sanktionspålæggelse af 10 personer, som bl.a. tæller højesteretsdommere, højtstående embedsmænd i anklagemyndigheden og dommere, som har medvirket til at udelukke partiet Jabloko og domfælde oppositionspolitikere;</w:t>
      </w:r>
    </w:p>
    <w:p w14:paraId="09722623" w14:textId="77777777" w:rsidR="0031132A" w:rsidRPr="00E62504" w:rsidRDefault="00461EDC" w:rsidP="0031132A">
      <w:pPr>
        <w:pStyle w:val="NormalHanging12a"/>
      </w:pPr>
      <w:r w:rsidRPr="00E62504">
        <w:t>17.</w:t>
      </w:r>
      <w:r w:rsidRPr="00E62504">
        <w:tab/>
        <w:t xml:space="preserve">opfordrer indtrængende til at vedtage målrettede EU-sanktioner mod dommere, anklagere, embedsmænd i Rosfinmonitoring og aktører, som har deltaget i undertrykkelse, herunder tværnational undertrykkelse; </w:t>
      </w:r>
      <w:r w:rsidRPr="00E62504">
        <w:t>opfordrer til målrettede restriktive foranstaltninger over for russiske valgtilforordnede, dommere, anklagere, besættelsesmyndighederne og andre personer, som er direkte ansvarlige for at tilrettelægge den fingerede valgproces i de midlertidigt besatte dele af Ukraine, Georgien og Moldova, samt over for de medlemmer af den centrale valgkommission og de regionale valgkommissioner, der er ansvarlige for valgsvindel, og nyvalgte deputerede til statsdumaen, der endnu ikke er opført på listen, navnlig dem der ha</w:t>
      </w:r>
      <w:r w:rsidRPr="00E62504">
        <w:t>r tjenestegjort i invasionsstyrkerne eller har beklædt stillinger i besættelsesmagtens forvaltningsapparat;</w:t>
      </w:r>
      <w:r w:rsidRPr="00E62504">
        <w:t xml:space="preserve"> opfordrer til, at alle sådanne personer pålægges indrejseforbud i hele Schengenområdet;</w:t>
      </w:r>
    </w:p>
    <w:p w14:paraId="7B2DCA14" w14:textId="77777777" w:rsidR="0031132A" w:rsidRPr="00E62504" w:rsidRDefault="00461EDC" w:rsidP="0031132A">
      <w:pPr>
        <w:pStyle w:val="NormalHanging12a"/>
      </w:pPr>
      <w:r w:rsidRPr="00E62504">
        <w:t>18.</w:t>
      </w:r>
      <w:r w:rsidRPr="00E62504">
        <w:tab/>
        <w:t>opfordrer medlemsstaterne til at udvikle koordinerede løsninger for russiske menneskerettighedsforkæmpere, uafhængige journalister og andre udsatte personer med lovligt ophold i EU, som ikke har mulighed for at forny deres ID-papirer hos de russiske konsulære myndigheder;</w:t>
      </w:r>
    </w:p>
    <w:p w14:paraId="26AE5867" w14:textId="77777777" w:rsidR="0031132A" w:rsidRPr="00E62504" w:rsidRDefault="00461EDC" w:rsidP="0031132A">
      <w:pPr>
        <w:pStyle w:val="NormalHanging12a"/>
      </w:pPr>
      <w:r w:rsidRPr="00E62504">
        <w:t>19.</w:t>
      </w:r>
      <w:r w:rsidRPr="00E62504">
        <w:tab/>
      </w:r>
      <w:r w:rsidRPr="00E62504">
        <w:t>bekræfter på ny, at forbindelserne med Rusland ikke kan normaliseres uden en retfærdig og varig fred for Ukraine baseret på fuld territorial integritet, fuldstændig tilbagetrækning af russiske tropper, frigivelse af alle krigsfanger, tilbageholdte civile og tvangsdeporterede ukrainske børn, Ruslands betaling af fuld krigsskadeerstatning og kompensation til Ukraine og ansvarliggørelse for de begåede krigsforbrydelser, forbrydelser mod menneskeheden og Ruslands aggressionsforbrydelse mod Ukraine, ophør af int</w:t>
      </w:r>
      <w:r w:rsidRPr="00E62504">
        <w:t>ern politisk undertrykkelse, genoprettelse af retsstatsprincippet samt fuld overholdelse af folkeretten;</w:t>
      </w:r>
      <w:r w:rsidRPr="00E62504">
        <w:t xml:space="preserve"> opfordrer til politisk og diplomatisk isolering af det russiske styre, så længe dette måtte være nødvendigt, bl.a. gennem koordinerede bestræbelser på at udelukke styrets repræsentanter fra vigtige internationale fora og forhindre enhver normalisering af Ruslands deltagelse i internationale idræts- og kulturarrangementer;</w:t>
      </w:r>
    </w:p>
    <w:p w14:paraId="09823A11" w14:textId="77777777" w:rsidR="001B3354" w:rsidRPr="00E62504" w:rsidRDefault="00461EDC" w:rsidP="0031132A">
      <w:pPr>
        <w:pStyle w:val="NormalHanging12a"/>
      </w:pPr>
      <w:r w:rsidRPr="00E62504">
        <w:t>20.</w:t>
      </w:r>
      <w:r w:rsidRPr="00E62504">
        <w:tab/>
      </w:r>
      <w:r w:rsidRPr="00E62504">
        <w:t>pålægger sin formand at sende denne beslutning til Rådet, Kommissionen, næstformanden i Kommissionen/Unionens højtstående repræsentant for udenrigsanliggender og sikkerhedspolitik, medlemsstaternes regeringer og parlamenter, Europarådet, Organisationen for Sikkerhed og Samarbejde i Europa, De Forenede Nationer samt myndighederne i Den Russiske Føderation, Ukraine, Republikken Moldova og Georgien.</w:t>
      </w:r>
    </w:p>
    <w:sectPr w:rsidR="001B3354" w:rsidRPr="00E62504" w:rsidSect="00E6250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33E69" w14:textId="77777777" w:rsidR="00461EDC" w:rsidRPr="00E62504" w:rsidRDefault="00461EDC">
      <w:r w:rsidRPr="00E62504">
        <w:separator/>
      </w:r>
    </w:p>
  </w:endnote>
  <w:endnote w:type="continuationSeparator" w:id="0">
    <w:p w14:paraId="3D581DA4" w14:textId="77777777" w:rsidR="00461EDC" w:rsidRPr="00E62504" w:rsidRDefault="00461EDC">
      <w:r w:rsidRPr="00E625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8A7AC" w14:textId="7CA4E221" w:rsidR="00E62504" w:rsidRPr="00E62504" w:rsidRDefault="00E62504" w:rsidP="00E62504">
    <w:pPr>
      <w:pStyle w:val="EPFooterRC"/>
    </w:pPr>
    <w:r w:rsidRPr="00E62504">
      <w:rPr>
        <w:rStyle w:val="HideTWBExt"/>
      </w:rPr>
      <w:t>&lt;PathFdR&gt;</w:t>
    </w:r>
    <w:r w:rsidRPr="00E62504">
      <w:t>RC\1352170DA.docx</w:t>
    </w:r>
    <w:r w:rsidRPr="00E62504">
      <w:rPr>
        <w:rStyle w:val="HideTWBExt"/>
      </w:rPr>
      <w:t>&lt;/PathFdR&gt;</w:t>
    </w:r>
    <w:r w:rsidRPr="00E62504">
      <w:tab/>
    </w:r>
    <w:r w:rsidRPr="00E62504">
      <w:fldChar w:fldCharType="begin"/>
    </w:r>
    <w:r w:rsidRPr="00E62504">
      <w:instrText xml:space="preserve"> PAGE  \* MERGEFORMAT </w:instrText>
    </w:r>
    <w:r w:rsidRPr="00E62504">
      <w:fldChar w:fldCharType="separate"/>
    </w:r>
    <w:r w:rsidRPr="00E62504">
      <w:rPr>
        <w:noProof/>
      </w:rPr>
      <w:t>8</w:t>
    </w:r>
    <w:r w:rsidRPr="00E62504">
      <w:fldChar w:fldCharType="end"/>
    </w:r>
    <w:r w:rsidRPr="00E62504">
      <w:t>/</w:t>
    </w:r>
    <w:fldSimple w:instr=" NUMPAGES  \* MERGEFORMAT ">
      <w:r w:rsidRPr="00E62504">
        <w:rPr>
          <w:noProof/>
        </w:rPr>
        <w:t>9</w:t>
      </w:r>
    </w:fldSimple>
    <w:r w:rsidRPr="00E62504">
      <w:tab/>
      <w:t>PE</w:t>
    </w:r>
    <w:r w:rsidRPr="00E62504">
      <w:rPr>
        <w:rStyle w:val="HideTWBExt"/>
      </w:rPr>
      <w:t>&lt;NoPE&gt;</w:t>
    </w:r>
    <w:r w:rsidRPr="00E62504">
      <w:t>788.310</w:t>
    </w:r>
    <w:r w:rsidRPr="00E62504">
      <w:rPr>
        <w:rStyle w:val="HideTWBExt"/>
      </w:rPr>
      <w:t>&lt;/NoPE&gt;&lt;Version&gt;</w:t>
    </w:r>
    <w:r w:rsidRPr="00E62504">
      <w:t>v01-00</w:t>
    </w:r>
    <w:r w:rsidRPr="00E62504">
      <w:rPr>
        <w:rStyle w:val="HideTWBExt"/>
      </w:rPr>
      <w:t>&lt;/Version&gt;</w:t>
    </w:r>
    <w:r w:rsidRPr="00E62504">
      <w:t xml:space="preserve"> }</w:t>
    </w:r>
  </w:p>
  <w:p w14:paraId="00B4A0F5" w14:textId="77777777" w:rsidR="00E62504" w:rsidRPr="00E62504" w:rsidRDefault="00E62504" w:rsidP="00E62504">
    <w:pPr>
      <w:pStyle w:val="EPFooterRC"/>
    </w:pPr>
    <w:r w:rsidRPr="00E62504">
      <w:tab/>
    </w:r>
    <w:r w:rsidRPr="00E62504">
      <w:tab/>
      <w:t>PE</w:t>
    </w:r>
    <w:r w:rsidRPr="00E62504">
      <w:rPr>
        <w:rStyle w:val="HideTWBExt"/>
      </w:rPr>
      <w:t>&lt;NoPE&gt;</w:t>
    </w:r>
    <w:r w:rsidRPr="00E62504">
      <w:t>788.313</w:t>
    </w:r>
    <w:r w:rsidRPr="00E62504">
      <w:rPr>
        <w:rStyle w:val="HideTWBExt"/>
      </w:rPr>
      <w:t>&lt;/NoPE&gt;&lt;Version&gt;</w:t>
    </w:r>
    <w:r w:rsidRPr="00E62504">
      <w:t>v01-00</w:t>
    </w:r>
    <w:r w:rsidRPr="00E62504">
      <w:rPr>
        <w:rStyle w:val="HideTWBExt"/>
      </w:rPr>
      <w:t>&lt;/Version&gt;</w:t>
    </w:r>
    <w:r w:rsidRPr="00E62504">
      <w:t xml:space="preserve"> }</w:t>
    </w:r>
  </w:p>
  <w:p w14:paraId="1A4D3C06" w14:textId="77777777" w:rsidR="00E62504" w:rsidRPr="00E62504" w:rsidRDefault="00E62504" w:rsidP="00E62504">
    <w:pPr>
      <w:pStyle w:val="EPFooterRC"/>
    </w:pPr>
    <w:r w:rsidRPr="00E62504">
      <w:tab/>
    </w:r>
    <w:r w:rsidRPr="00E62504">
      <w:tab/>
      <w:t>PE</w:t>
    </w:r>
    <w:r w:rsidRPr="00E62504">
      <w:rPr>
        <w:rStyle w:val="HideTWBExt"/>
      </w:rPr>
      <w:t>&lt;NoPE&gt;</w:t>
    </w:r>
    <w:r w:rsidRPr="00E62504">
      <w:t>788.314</w:t>
    </w:r>
    <w:r w:rsidRPr="00E62504">
      <w:rPr>
        <w:rStyle w:val="HideTWBExt"/>
      </w:rPr>
      <w:t>&lt;/NoPE&gt;&lt;Version&gt;</w:t>
    </w:r>
    <w:r w:rsidRPr="00E62504">
      <w:t>v01-00</w:t>
    </w:r>
    <w:r w:rsidRPr="00E62504">
      <w:rPr>
        <w:rStyle w:val="HideTWBExt"/>
      </w:rPr>
      <w:t>&lt;/Version&gt;</w:t>
    </w:r>
    <w:r w:rsidRPr="00E62504">
      <w:t xml:space="preserve"> }</w:t>
    </w:r>
  </w:p>
  <w:p w14:paraId="63E09E16" w14:textId="77777777" w:rsidR="00E62504" w:rsidRPr="00E62504" w:rsidRDefault="00E62504" w:rsidP="00E62504">
    <w:pPr>
      <w:pStyle w:val="EPFooterRC"/>
    </w:pPr>
    <w:r w:rsidRPr="00E62504">
      <w:tab/>
    </w:r>
    <w:r w:rsidRPr="00E62504">
      <w:tab/>
      <w:t>PE</w:t>
    </w:r>
    <w:r w:rsidRPr="00E62504">
      <w:rPr>
        <w:rStyle w:val="HideTWBExt"/>
      </w:rPr>
      <w:t>&lt;NoPE&gt;</w:t>
    </w:r>
    <w:r w:rsidRPr="00E62504">
      <w:t>788.315</w:t>
    </w:r>
    <w:r w:rsidRPr="00E62504">
      <w:rPr>
        <w:rStyle w:val="HideTWBExt"/>
      </w:rPr>
      <w:t>&lt;/NoPE&gt;&lt;Version&gt;</w:t>
    </w:r>
    <w:r w:rsidRPr="00E62504">
      <w:t>v01-00</w:t>
    </w:r>
    <w:r w:rsidRPr="00E62504">
      <w:rPr>
        <w:rStyle w:val="HideTWBExt"/>
      </w:rPr>
      <w:t>&lt;/Version&gt;</w:t>
    </w:r>
    <w:r w:rsidRPr="00E62504">
      <w:t xml:space="preserve"> }</w:t>
    </w:r>
  </w:p>
  <w:p w14:paraId="4E05E5E1" w14:textId="77777777" w:rsidR="00E62504" w:rsidRPr="00E62504" w:rsidRDefault="00E62504" w:rsidP="00E62504">
    <w:pPr>
      <w:pStyle w:val="EPFooterRC"/>
    </w:pPr>
    <w:r w:rsidRPr="00E62504">
      <w:tab/>
    </w:r>
    <w:r w:rsidRPr="00E62504">
      <w:tab/>
      <w:t>PE</w:t>
    </w:r>
    <w:r w:rsidRPr="00E62504">
      <w:rPr>
        <w:rStyle w:val="HideTWBExt"/>
      </w:rPr>
      <w:t>&lt;NoPE&gt;</w:t>
    </w:r>
    <w:r w:rsidRPr="00E62504">
      <w:t>788.318</w:t>
    </w:r>
    <w:r w:rsidRPr="00E62504">
      <w:rPr>
        <w:rStyle w:val="HideTWBExt"/>
      </w:rPr>
      <w:t>&lt;/NoPE&gt;&lt;Version&gt;</w:t>
    </w:r>
    <w:r w:rsidRPr="00E62504">
      <w:t>v01-00</w:t>
    </w:r>
    <w:r w:rsidRPr="00E62504">
      <w:rPr>
        <w:rStyle w:val="HideTWBExt"/>
      </w:rPr>
      <w:t>&lt;/Version&gt;</w:t>
    </w:r>
    <w:r w:rsidRPr="00E62504">
      <w:t xml:space="preserve"> } RC1</w:t>
    </w:r>
  </w:p>
  <w:p w14:paraId="3098A939" w14:textId="09E3F7A9" w:rsidR="00626D73" w:rsidRPr="00E62504" w:rsidRDefault="00E62504" w:rsidP="00E62504">
    <w:pPr>
      <w:pStyle w:val="EPFooter2"/>
    </w:pPr>
    <w:r w:rsidRPr="00E62504">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F9FD8" w14:textId="09571B35" w:rsidR="00E62504" w:rsidRPr="00E62504" w:rsidRDefault="00E62504" w:rsidP="00E62504">
    <w:pPr>
      <w:pStyle w:val="EPFooterRC"/>
    </w:pPr>
    <w:r w:rsidRPr="00E62504">
      <w:rPr>
        <w:rStyle w:val="HideTWBExt"/>
      </w:rPr>
      <w:t>&lt;PathFdR&gt;</w:t>
    </w:r>
    <w:r w:rsidRPr="00E62504">
      <w:t>RC\1352170DA.docx</w:t>
    </w:r>
    <w:r w:rsidRPr="00E62504">
      <w:rPr>
        <w:rStyle w:val="HideTWBExt"/>
      </w:rPr>
      <w:t>&lt;/PathFdR&gt;</w:t>
    </w:r>
    <w:r w:rsidRPr="00E62504">
      <w:tab/>
    </w:r>
    <w:r w:rsidRPr="00E62504">
      <w:fldChar w:fldCharType="begin"/>
    </w:r>
    <w:r w:rsidRPr="00E62504">
      <w:instrText xml:space="preserve"> PAGE  \* MERGEFORMAT </w:instrText>
    </w:r>
    <w:r w:rsidRPr="00E62504">
      <w:fldChar w:fldCharType="separate"/>
    </w:r>
    <w:r w:rsidRPr="00E62504">
      <w:rPr>
        <w:noProof/>
      </w:rPr>
      <w:t>9</w:t>
    </w:r>
    <w:r w:rsidRPr="00E62504">
      <w:fldChar w:fldCharType="end"/>
    </w:r>
    <w:r w:rsidRPr="00E62504">
      <w:t>/</w:t>
    </w:r>
    <w:fldSimple w:instr=" NUMPAGES  \* MERGEFORMAT ">
      <w:r w:rsidRPr="00E62504">
        <w:rPr>
          <w:noProof/>
        </w:rPr>
        <w:t>9</w:t>
      </w:r>
    </w:fldSimple>
    <w:r w:rsidRPr="00E62504">
      <w:tab/>
      <w:t>PE</w:t>
    </w:r>
    <w:r w:rsidRPr="00E62504">
      <w:rPr>
        <w:rStyle w:val="HideTWBExt"/>
      </w:rPr>
      <w:t>&lt;NoPE&gt;</w:t>
    </w:r>
    <w:r w:rsidRPr="00E62504">
      <w:t>788.310</w:t>
    </w:r>
    <w:r w:rsidRPr="00E62504">
      <w:rPr>
        <w:rStyle w:val="HideTWBExt"/>
      </w:rPr>
      <w:t>&lt;/NoPE&gt;&lt;Version&gt;</w:t>
    </w:r>
    <w:r w:rsidRPr="00E62504">
      <w:t>v01-00</w:t>
    </w:r>
    <w:r w:rsidRPr="00E62504">
      <w:rPr>
        <w:rStyle w:val="HideTWBExt"/>
      </w:rPr>
      <w:t>&lt;/Version&gt;</w:t>
    </w:r>
    <w:r w:rsidRPr="00E62504">
      <w:t xml:space="preserve"> }</w:t>
    </w:r>
  </w:p>
  <w:p w14:paraId="379C4630" w14:textId="77777777" w:rsidR="00E62504" w:rsidRPr="00E62504" w:rsidRDefault="00E62504" w:rsidP="00E62504">
    <w:pPr>
      <w:pStyle w:val="EPFooterRC"/>
    </w:pPr>
    <w:r w:rsidRPr="00E62504">
      <w:tab/>
    </w:r>
    <w:r w:rsidRPr="00E62504">
      <w:tab/>
      <w:t>PE</w:t>
    </w:r>
    <w:r w:rsidRPr="00E62504">
      <w:rPr>
        <w:rStyle w:val="HideTWBExt"/>
      </w:rPr>
      <w:t>&lt;NoPE&gt;</w:t>
    </w:r>
    <w:r w:rsidRPr="00E62504">
      <w:t>788.313</w:t>
    </w:r>
    <w:r w:rsidRPr="00E62504">
      <w:rPr>
        <w:rStyle w:val="HideTWBExt"/>
      </w:rPr>
      <w:t>&lt;/NoPE&gt;&lt;Version&gt;</w:t>
    </w:r>
    <w:r w:rsidRPr="00E62504">
      <w:t>v01-00</w:t>
    </w:r>
    <w:r w:rsidRPr="00E62504">
      <w:rPr>
        <w:rStyle w:val="HideTWBExt"/>
      </w:rPr>
      <w:t>&lt;/Version&gt;</w:t>
    </w:r>
    <w:r w:rsidRPr="00E62504">
      <w:t xml:space="preserve"> }</w:t>
    </w:r>
  </w:p>
  <w:p w14:paraId="2DAA72BE" w14:textId="77777777" w:rsidR="00E62504" w:rsidRPr="00E62504" w:rsidRDefault="00E62504" w:rsidP="00E62504">
    <w:pPr>
      <w:pStyle w:val="EPFooterRC"/>
    </w:pPr>
    <w:r w:rsidRPr="00E62504">
      <w:tab/>
    </w:r>
    <w:r w:rsidRPr="00E62504">
      <w:tab/>
      <w:t>PE</w:t>
    </w:r>
    <w:r w:rsidRPr="00E62504">
      <w:rPr>
        <w:rStyle w:val="HideTWBExt"/>
      </w:rPr>
      <w:t>&lt;NoPE&gt;</w:t>
    </w:r>
    <w:r w:rsidRPr="00E62504">
      <w:t>788.314</w:t>
    </w:r>
    <w:r w:rsidRPr="00E62504">
      <w:rPr>
        <w:rStyle w:val="HideTWBExt"/>
      </w:rPr>
      <w:t>&lt;/NoPE&gt;&lt;Version&gt;</w:t>
    </w:r>
    <w:r w:rsidRPr="00E62504">
      <w:t>v01-00</w:t>
    </w:r>
    <w:r w:rsidRPr="00E62504">
      <w:rPr>
        <w:rStyle w:val="HideTWBExt"/>
      </w:rPr>
      <w:t>&lt;/Version&gt;</w:t>
    </w:r>
    <w:r w:rsidRPr="00E62504">
      <w:t xml:space="preserve"> }</w:t>
    </w:r>
  </w:p>
  <w:p w14:paraId="59911083" w14:textId="77777777" w:rsidR="00E62504" w:rsidRPr="00E62504" w:rsidRDefault="00E62504" w:rsidP="00E62504">
    <w:pPr>
      <w:pStyle w:val="EPFooterRC"/>
    </w:pPr>
    <w:r w:rsidRPr="00E62504">
      <w:tab/>
    </w:r>
    <w:r w:rsidRPr="00E62504">
      <w:tab/>
      <w:t>PE</w:t>
    </w:r>
    <w:r w:rsidRPr="00E62504">
      <w:rPr>
        <w:rStyle w:val="HideTWBExt"/>
      </w:rPr>
      <w:t>&lt;NoPE&gt;</w:t>
    </w:r>
    <w:r w:rsidRPr="00E62504">
      <w:t>788.315</w:t>
    </w:r>
    <w:r w:rsidRPr="00E62504">
      <w:rPr>
        <w:rStyle w:val="HideTWBExt"/>
      </w:rPr>
      <w:t>&lt;/NoPE&gt;&lt;Version&gt;</w:t>
    </w:r>
    <w:r w:rsidRPr="00E62504">
      <w:t>v01-00</w:t>
    </w:r>
    <w:r w:rsidRPr="00E62504">
      <w:rPr>
        <w:rStyle w:val="HideTWBExt"/>
      </w:rPr>
      <w:t>&lt;/Version&gt;</w:t>
    </w:r>
    <w:r w:rsidRPr="00E62504">
      <w:t xml:space="preserve"> }</w:t>
    </w:r>
  </w:p>
  <w:p w14:paraId="4C509339" w14:textId="77777777" w:rsidR="00E62504" w:rsidRPr="00E62504" w:rsidRDefault="00E62504" w:rsidP="00E62504">
    <w:pPr>
      <w:pStyle w:val="EPFooterRC"/>
    </w:pPr>
    <w:r w:rsidRPr="00E62504">
      <w:tab/>
    </w:r>
    <w:r w:rsidRPr="00E62504">
      <w:tab/>
      <w:t>PE</w:t>
    </w:r>
    <w:r w:rsidRPr="00E62504">
      <w:rPr>
        <w:rStyle w:val="HideTWBExt"/>
      </w:rPr>
      <w:t>&lt;NoPE&gt;</w:t>
    </w:r>
    <w:r w:rsidRPr="00E62504">
      <w:t>788.318</w:t>
    </w:r>
    <w:r w:rsidRPr="00E62504">
      <w:rPr>
        <w:rStyle w:val="HideTWBExt"/>
      </w:rPr>
      <w:t>&lt;/NoPE&gt;&lt;Version&gt;</w:t>
    </w:r>
    <w:r w:rsidRPr="00E62504">
      <w:t>v01-00</w:t>
    </w:r>
    <w:r w:rsidRPr="00E62504">
      <w:rPr>
        <w:rStyle w:val="HideTWBExt"/>
      </w:rPr>
      <w:t>&lt;/Version&gt;</w:t>
    </w:r>
    <w:r w:rsidRPr="00E62504">
      <w:t xml:space="preserve"> } RC1</w:t>
    </w:r>
  </w:p>
  <w:p w14:paraId="646AFE87" w14:textId="22A4E39F" w:rsidR="00626D73" w:rsidRPr="00E62504" w:rsidRDefault="00E62504" w:rsidP="00E62504">
    <w:pPr>
      <w:pStyle w:val="EPFooter2"/>
    </w:pPr>
    <w:r w:rsidRPr="00E62504">
      <w:tab/>
    </w:r>
    <w:r w:rsidRPr="00E62504">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9B34C" w14:textId="77777777" w:rsidR="00E62504" w:rsidRPr="00E62504" w:rsidRDefault="00E62504" w:rsidP="00E62504">
    <w:pPr>
      <w:pStyle w:val="EPFooterRC"/>
    </w:pPr>
    <w:r w:rsidRPr="00E62504">
      <w:rPr>
        <w:rStyle w:val="HideTWBExt"/>
      </w:rPr>
      <w:t>&lt;PathFdR&gt;</w:t>
    </w:r>
    <w:r w:rsidRPr="00E62504">
      <w:t>RC\1352170DA.docx</w:t>
    </w:r>
    <w:r w:rsidRPr="00E62504">
      <w:rPr>
        <w:rStyle w:val="HideTWBExt"/>
      </w:rPr>
      <w:t>&lt;/PathFdR&gt;</w:t>
    </w:r>
    <w:r w:rsidRPr="00E62504">
      <w:tab/>
    </w:r>
    <w:r w:rsidRPr="00E62504">
      <w:tab/>
      <w:t>PE</w:t>
    </w:r>
    <w:r w:rsidRPr="00E62504">
      <w:rPr>
        <w:rStyle w:val="HideTWBExt"/>
      </w:rPr>
      <w:t>&lt;NoPE&gt;</w:t>
    </w:r>
    <w:r w:rsidRPr="00E62504">
      <w:t>788.310</w:t>
    </w:r>
    <w:r w:rsidRPr="00E62504">
      <w:rPr>
        <w:rStyle w:val="HideTWBExt"/>
      </w:rPr>
      <w:t>&lt;/NoPE&gt;&lt;Version&gt;</w:t>
    </w:r>
    <w:r w:rsidRPr="00E62504">
      <w:t>v01-00</w:t>
    </w:r>
    <w:r w:rsidRPr="00E62504">
      <w:rPr>
        <w:rStyle w:val="HideTWBExt"/>
      </w:rPr>
      <w:t>&lt;/Version&gt;</w:t>
    </w:r>
    <w:r w:rsidRPr="00E62504">
      <w:t xml:space="preserve"> }</w:t>
    </w:r>
  </w:p>
  <w:p w14:paraId="6676DE87" w14:textId="77777777" w:rsidR="00E62504" w:rsidRPr="00E62504" w:rsidRDefault="00E62504" w:rsidP="00E62504">
    <w:pPr>
      <w:pStyle w:val="EPFooterRC"/>
    </w:pPr>
    <w:r w:rsidRPr="00E62504">
      <w:tab/>
    </w:r>
    <w:r w:rsidRPr="00E62504">
      <w:tab/>
      <w:t>PE</w:t>
    </w:r>
    <w:r w:rsidRPr="00E62504">
      <w:rPr>
        <w:rStyle w:val="HideTWBExt"/>
      </w:rPr>
      <w:t>&lt;NoPE&gt;</w:t>
    </w:r>
    <w:r w:rsidRPr="00E62504">
      <w:t>788.313</w:t>
    </w:r>
    <w:r w:rsidRPr="00E62504">
      <w:rPr>
        <w:rStyle w:val="HideTWBExt"/>
      </w:rPr>
      <w:t>&lt;/NoPE&gt;&lt;Version&gt;</w:t>
    </w:r>
    <w:r w:rsidRPr="00E62504">
      <w:t>v01-00</w:t>
    </w:r>
    <w:r w:rsidRPr="00E62504">
      <w:rPr>
        <w:rStyle w:val="HideTWBExt"/>
      </w:rPr>
      <w:t>&lt;/Version&gt;</w:t>
    </w:r>
    <w:r w:rsidRPr="00E62504">
      <w:t xml:space="preserve"> }</w:t>
    </w:r>
  </w:p>
  <w:p w14:paraId="3C0E0098" w14:textId="77777777" w:rsidR="00E62504" w:rsidRPr="00E62504" w:rsidRDefault="00E62504" w:rsidP="00E62504">
    <w:pPr>
      <w:pStyle w:val="EPFooterRC"/>
    </w:pPr>
    <w:r w:rsidRPr="00E62504">
      <w:tab/>
    </w:r>
    <w:r w:rsidRPr="00E62504">
      <w:tab/>
      <w:t>PE</w:t>
    </w:r>
    <w:r w:rsidRPr="00E62504">
      <w:rPr>
        <w:rStyle w:val="HideTWBExt"/>
      </w:rPr>
      <w:t>&lt;NoPE&gt;</w:t>
    </w:r>
    <w:r w:rsidRPr="00E62504">
      <w:t>788.314</w:t>
    </w:r>
    <w:r w:rsidRPr="00E62504">
      <w:rPr>
        <w:rStyle w:val="HideTWBExt"/>
      </w:rPr>
      <w:t>&lt;/NoPE&gt;&lt;Version&gt;</w:t>
    </w:r>
    <w:r w:rsidRPr="00E62504">
      <w:t>v01-00</w:t>
    </w:r>
    <w:r w:rsidRPr="00E62504">
      <w:rPr>
        <w:rStyle w:val="HideTWBExt"/>
      </w:rPr>
      <w:t>&lt;/Version&gt;</w:t>
    </w:r>
    <w:r w:rsidRPr="00E62504">
      <w:t xml:space="preserve"> }</w:t>
    </w:r>
  </w:p>
  <w:p w14:paraId="3D0A17F3" w14:textId="77777777" w:rsidR="00E62504" w:rsidRPr="00E62504" w:rsidRDefault="00E62504" w:rsidP="00E62504">
    <w:pPr>
      <w:pStyle w:val="EPFooterRC"/>
    </w:pPr>
    <w:r w:rsidRPr="00E62504">
      <w:tab/>
    </w:r>
    <w:r w:rsidRPr="00E62504">
      <w:tab/>
      <w:t>PE</w:t>
    </w:r>
    <w:r w:rsidRPr="00E62504">
      <w:rPr>
        <w:rStyle w:val="HideTWBExt"/>
      </w:rPr>
      <w:t>&lt;NoPE&gt;</w:t>
    </w:r>
    <w:r w:rsidRPr="00E62504">
      <w:t>788.315</w:t>
    </w:r>
    <w:r w:rsidRPr="00E62504">
      <w:rPr>
        <w:rStyle w:val="HideTWBExt"/>
      </w:rPr>
      <w:t>&lt;/NoPE&gt;&lt;Version&gt;</w:t>
    </w:r>
    <w:r w:rsidRPr="00E62504">
      <w:t>v01-00</w:t>
    </w:r>
    <w:r w:rsidRPr="00E62504">
      <w:rPr>
        <w:rStyle w:val="HideTWBExt"/>
      </w:rPr>
      <w:t>&lt;/Version&gt;</w:t>
    </w:r>
    <w:r w:rsidRPr="00E62504">
      <w:t xml:space="preserve"> }</w:t>
    </w:r>
  </w:p>
  <w:p w14:paraId="62A2A202" w14:textId="77777777" w:rsidR="00E62504" w:rsidRPr="00E62504" w:rsidRDefault="00E62504" w:rsidP="00E62504">
    <w:pPr>
      <w:pStyle w:val="EPFooterRC"/>
    </w:pPr>
    <w:r w:rsidRPr="00E62504">
      <w:tab/>
    </w:r>
    <w:r w:rsidRPr="00E62504">
      <w:tab/>
      <w:t>PE</w:t>
    </w:r>
    <w:r w:rsidRPr="00E62504">
      <w:rPr>
        <w:rStyle w:val="HideTWBExt"/>
      </w:rPr>
      <w:t>&lt;NoPE&gt;</w:t>
    </w:r>
    <w:r w:rsidRPr="00E62504">
      <w:t>788.318</w:t>
    </w:r>
    <w:r w:rsidRPr="00E62504">
      <w:rPr>
        <w:rStyle w:val="HideTWBExt"/>
      </w:rPr>
      <w:t>&lt;/NoPE&gt;&lt;Version&gt;</w:t>
    </w:r>
    <w:r w:rsidRPr="00E62504">
      <w:t>v01-00</w:t>
    </w:r>
    <w:r w:rsidRPr="00E62504">
      <w:rPr>
        <w:rStyle w:val="HideTWBExt"/>
      </w:rPr>
      <w:t>&lt;/Version&gt;</w:t>
    </w:r>
    <w:r w:rsidRPr="00E62504">
      <w:t xml:space="preserve"> } RC1</w:t>
    </w:r>
  </w:p>
  <w:p w14:paraId="011A64FB" w14:textId="3A174A86" w:rsidR="00626D73" w:rsidRPr="00E62504" w:rsidRDefault="00E62504" w:rsidP="00E62504">
    <w:pPr>
      <w:pStyle w:val="EPFooter2"/>
    </w:pPr>
    <w:r w:rsidRPr="00E62504">
      <w:t>DA</w:t>
    </w:r>
    <w:r w:rsidRPr="00E62504">
      <w:tab/>
    </w:r>
    <w:r w:rsidRPr="00E62504">
      <w:rPr>
        <w:b w:val="0"/>
        <w:i/>
        <w:color w:val="C0C0C0"/>
        <w:sz w:val="22"/>
      </w:rPr>
      <w:t>Forenet i mangfoldighed</w:t>
    </w:r>
    <w:r w:rsidRPr="00E62504">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EB97D" w14:textId="77777777" w:rsidR="00461EDC" w:rsidRPr="00E62504" w:rsidRDefault="00461EDC">
      <w:r w:rsidRPr="00E62504">
        <w:separator/>
      </w:r>
    </w:p>
  </w:footnote>
  <w:footnote w:type="continuationSeparator" w:id="0">
    <w:p w14:paraId="2ECC685A" w14:textId="77777777" w:rsidR="00461EDC" w:rsidRPr="00E62504" w:rsidRDefault="00461EDC">
      <w:r w:rsidRPr="00E625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E0381" w14:textId="77777777" w:rsidR="007C37C8" w:rsidRDefault="007C37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CF3CE" w14:textId="77777777" w:rsidR="007C37C8" w:rsidRDefault="007C37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130B8" w14:textId="77777777" w:rsidR="007C37C8" w:rsidRDefault="007C37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912395972">
    <w:abstractNumId w:val="9"/>
  </w:num>
  <w:num w:numId="2" w16cid:durableId="1094327028">
    <w:abstractNumId w:val="9"/>
  </w:num>
  <w:num w:numId="3" w16cid:durableId="1050961467">
    <w:abstractNumId w:val="7"/>
  </w:num>
  <w:num w:numId="4" w16cid:durableId="1055738189">
    <w:abstractNumId w:val="7"/>
  </w:num>
  <w:num w:numId="5" w16cid:durableId="1649822565">
    <w:abstractNumId w:val="6"/>
  </w:num>
  <w:num w:numId="6" w16cid:durableId="129906099">
    <w:abstractNumId w:val="6"/>
  </w:num>
  <w:num w:numId="7" w16cid:durableId="957491692">
    <w:abstractNumId w:val="5"/>
  </w:num>
  <w:num w:numId="8" w16cid:durableId="517887132">
    <w:abstractNumId w:val="5"/>
  </w:num>
  <w:num w:numId="9" w16cid:durableId="1806702361">
    <w:abstractNumId w:val="4"/>
  </w:num>
  <w:num w:numId="10" w16cid:durableId="1706977332">
    <w:abstractNumId w:val="4"/>
  </w:num>
  <w:num w:numId="11" w16cid:durableId="1335260966">
    <w:abstractNumId w:val="8"/>
  </w:num>
  <w:num w:numId="12" w16cid:durableId="766198367">
    <w:abstractNumId w:val="8"/>
  </w:num>
  <w:num w:numId="13" w16cid:durableId="2106152529">
    <w:abstractNumId w:val="3"/>
  </w:num>
  <w:num w:numId="14" w16cid:durableId="1287200317">
    <w:abstractNumId w:val="3"/>
  </w:num>
  <w:num w:numId="15" w16cid:durableId="433281953">
    <w:abstractNumId w:val="2"/>
  </w:num>
  <w:num w:numId="16" w16cid:durableId="787243192">
    <w:abstractNumId w:val="2"/>
  </w:num>
  <w:num w:numId="17" w16cid:durableId="965238566">
    <w:abstractNumId w:val="1"/>
  </w:num>
  <w:num w:numId="18" w16cid:durableId="1767338007">
    <w:abstractNumId w:val="1"/>
  </w:num>
  <w:num w:numId="19" w16cid:durableId="275019657">
    <w:abstractNumId w:val="0"/>
  </w:num>
  <w:num w:numId="20" w16cid:durableId="680618482">
    <w:abstractNumId w:val="0"/>
  </w:num>
  <w:num w:numId="21" w16cid:durableId="2069567855">
    <w:abstractNumId w:val="9"/>
  </w:num>
  <w:num w:numId="22" w16cid:durableId="552931999">
    <w:abstractNumId w:val="7"/>
  </w:num>
  <w:num w:numId="23" w16cid:durableId="74867794">
    <w:abstractNumId w:val="6"/>
  </w:num>
  <w:num w:numId="24" w16cid:durableId="1321038827">
    <w:abstractNumId w:val="5"/>
  </w:num>
  <w:num w:numId="25" w16cid:durableId="369689130">
    <w:abstractNumId w:val="4"/>
  </w:num>
  <w:num w:numId="26" w16cid:durableId="455951216">
    <w:abstractNumId w:val="8"/>
  </w:num>
  <w:num w:numId="27" w16cid:durableId="1715497918">
    <w:abstractNumId w:val="3"/>
  </w:num>
  <w:num w:numId="28" w16cid:durableId="2050569848">
    <w:abstractNumId w:val="2"/>
  </w:num>
  <w:num w:numId="29" w16cid:durableId="2001152669">
    <w:abstractNumId w:val="1"/>
  </w:num>
  <w:num w:numId="30" w16cid:durableId="632104628">
    <w:abstractNumId w:val="0"/>
  </w:num>
  <w:num w:numId="31" w16cid:durableId="170876313">
    <w:abstractNumId w:val="9"/>
  </w:num>
  <w:num w:numId="32" w16cid:durableId="271321600">
    <w:abstractNumId w:val="7"/>
  </w:num>
  <w:num w:numId="33" w16cid:durableId="1811635476">
    <w:abstractNumId w:val="6"/>
  </w:num>
  <w:num w:numId="34" w16cid:durableId="431242567">
    <w:abstractNumId w:val="5"/>
  </w:num>
  <w:num w:numId="35" w16cid:durableId="1208027763">
    <w:abstractNumId w:val="4"/>
  </w:num>
  <w:num w:numId="36" w16cid:durableId="1345286292">
    <w:abstractNumId w:val="8"/>
  </w:num>
  <w:num w:numId="37" w16cid:durableId="775559825">
    <w:abstractNumId w:val="3"/>
  </w:num>
  <w:num w:numId="38" w16cid:durableId="119956209">
    <w:abstractNumId w:val="2"/>
  </w:num>
  <w:num w:numId="39" w16cid:durableId="1907956902">
    <w:abstractNumId w:val="1"/>
  </w:num>
  <w:num w:numId="40" w16cid:durableId="1338842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DATE" w:val="06/10/2026"/>
    <w:docVar w:name="LastEditedSection" w:val=" 1"/>
    <w:docVar w:name="MYVAR1" w:val="4"/>
    <w:docVar w:name="NVAR1" w:val="4"/>
    <w:docVar w:name="NVAR2" w:val="5"/>
    <w:docVar w:name="RULEMNU" w:val=" 1"/>
    <w:docVar w:name="strDocTypeID" w:val="RC"/>
    <w:docVar w:name="strSubDir" w:val="1352"/>
    <w:docVar w:name="TABLERMNU" w:val=" 1"/>
    <w:docVar w:name="TITLEMNU" w:val=" 1"/>
    <w:docVar w:name="TXTLANGUE" w:val="EN"/>
    <w:docVar w:name="TXTLANGUEMIN" w:val="en"/>
    <w:docVar w:name="TXTNRB1" w:val="0441/2026"/>
    <w:docVar w:name="TXTNRB2" w:val="0444/2026"/>
    <w:docVar w:name="TXTNRB3" w:val="0445/2026"/>
    <w:docVar w:name="TXTNRB4" w:val="0446/2026"/>
    <w:docVar w:name="TXTNRB5" w:val="0449/2026"/>
    <w:docVar w:name="TXTNRPE1" w:val="788.310"/>
    <w:docVar w:name="TXTNRPE2" w:val="788.313"/>
    <w:docVar w:name="TXTNRPE3" w:val="788.314"/>
    <w:docVar w:name="TXTNRPE4" w:val="788.315"/>
    <w:docVar w:name="TXTNRPE5" w:val="788.318"/>
    <w:docVar w:name="TXTNRRSP" w:val="2026/2907"/>
    <w:docVar w:name="TXTPEorAP" w:val="PE"/>
    <w:docVar w:name="TXTROUTE" w:val="RC\1352170EN.docx"/>
    <w:docVar w:name="TXTTITLE" w:val="the undemocratic elections in the Russia State Duma and their implications for civil society"/>
    <w:docVar w:name="TXTVERSION1" w:val="01-00"/>
    <w:docVar w:name="TXTVERSION2" w:val="01-00"/>
    <w:docVar w:name="TXTVERSION3" w:val="01-00"/>
    <w:docVar w:name="TXTVERSION4" w:val="01-00"/>
    <w:docVar w:name="TXTVERSION5" w:val="01-00"/>
  </w:docVars>
  <w:rsids>
    <w:rsidRoot w:val="008413CD"/>
    <w:rsid w:val="00005903"/>
    <w:rsid w:val="0001465F"/>
    <w:rsid w:val="0001776E"/>
    <w:rsid w:val="0003544E"/>
    <w:rsid w:val="0005364A"/>
    <w:rsid w:val="0008467F"/>
    <w:rsid w:val="000B10DF"/>
    <w:rsid w:val="000B3501"/>
    <w:rsid w:val="000B4B40"/>
    <w:rsid w:val="00150FC7"/>
    <w:rsid w:val="00177088"/>
    <w:rsid w:val="00180384"/>
    <w:rsid w:val="001816C4"/>
    <w:rsid w:val="00184B3E"/>
    <w:rsid w:val="001A5F93"/>
    <w:rsid w:val="001B3354"/>
    <w:rsid w:val="001D4223"/>
    <w:rsid w:val="001E3637"/>
    <w:rsid w:val="001E6953"/>
    <w:rsid w:val="002439D4"/>
    <w:rsid w:val="00250797"/>
    <w:rsid w:val="00251355"/>
    <w:rsid w:val="00263A64"/>
    <w:rsid w:val="00265BE5"/>
    <w:rsid w:val="002A2B62"/>
    <w:rsid w:val="002C4BC5"/>
    <w:rsid w:val="002E2D08"/>
    <w:rsid w:val="0031132A"/>
    <w:rsid w:val="00335275"/>
    <w:rsid w:val="00342C03"/>
    <w:rsid w:val="003441B1"/>
    <w:rsid w:val="003957F5"/>
    <w:rsid w:val="003B03C1"/>
    <w:rsid w:val="003D73AC"/>
    <w:rsid w:val="00407A72"/>
    <w:rsid w:val="00433C1A"/>
    <w:rsid w:val="00440589"/>
    <w:rsid w:val="00445AC8"/>
    <w:rsid w:val="00461EDC"/>
    <w:rsid w:val="004740EE"/>
    <w:rsid w:val="00486CC2"/>
    <w:rsid w:val="00493197"/>
    <w:rsid w:val="0049746F"/>
    <w:rsid w:val="004D5831"/>
    <w:rsid w:val="004E13DA"/>
    <w:rsid w:val="004E563D"/>
    <w:rsid w:val="004F3387"/>
    <w:rsid w:val="004F500E"/>
    <w:rsid w:val="00501A19"/>
    <w:rsid w:val="00503B5F"/>
    <w:rsid w:val="00505571"/>
    <w:rsid w:val="00512790"/>
    <w:rsid w:val="00514C31"/>
    <w:rsid w:val="00530503"/>
    <w:rsid w:val="00550D1B"/>
    <w:rsid w:val="00554F5C"/>
    <w:rsid w:val="005832F3"/>
    <w:rsid w:val="00584E73"/>
    <w:rsid w:val="0059417F"/>
    <w:rsid w:val="005B55C9"/>
    <w:rsid w:val="005C13B8"/>
    <w:rsid w:val="005D1F88"/>
    <w:rsid w:val="005E607B"/>
    <w:rsid w:val="005F0C13"/>
    <w:rsid w:val="005F6A25"/>
    <w:rsid w:val="00600326"/>
    <w:rsid w:val="00623B7A"/>
    <w:rsid w:val="00626D73"/>
    <w:rsid w:val="00635643"/>
    <w:rsid w:val="006612B5"/>
    <w:rsid w:val="00676484"/>
    <w:rsid w:val="006F5830"/>
    <w:rsid w:val="00737093"/>
    <w:rsid w:val="00747149"/>
    <w:rsid w:val="00752855"/>
    <w:rsid w:val="00762DD4"/>
    <w:rsid w:val="00763757"/>
    <w:rsid w:val="00774F74"/>
    <w:rsid w:val="007C37C8"/>
    <w:rsid w:val="007C394B"/>
    <w:rsid w:val="007C665E"/>
    <w:rsid w:val="007D35C5"/>
    <w:rsid w:val="007E7F10"/>
    <w:rsid w:val="007F34BD"/>
    <w:rsid w:val="007F7251"/>
    <w:rsid w:val="008221F3"/>
    <w:rsid w:val="0082552A"/>
    <w:rsid w:val="008413CD"/>
    <w:rsid w:val="008803A8"/>
    <w:rsid w:val="008A7EA4"/>
    <w:rsid w:val="008B04F8"/>
    <w:rsid w:val="008B59C9"/>
    <w:rsid w:val="008F76C4"/>
    <w:rsid w:val="00905E62"/>
    <w:rsid w:val="00911166"/>
    <w:rsid w:val="009219DC"/>
    <w:rsid w:val="00926E4D"/>
    <w:rsid w:val="00931119"/>
    <w:rsid w:val="009418D7"/>
    <w:rsid w:val="00966C5C"/>
    <w:rsid w:val="00967F3D"/>
    <w:rsid w:val="00973878"/>
    <w:rsid w:val="0097472A"/>
    <w:rsid w:val="0099390C"/>
    <w:rsid w:val="009A7211"/>
    <w:rsid w:val="009D33CF"/>
    <w:rsid w:val="009F04D0"/>
    <w:rsid w:val="00A01E41"/>
    <w:rsid w:val="00A2451D"/>
    <w:rsid w:val="00A30C33"/>
    <w:rsid w:val="00A429A0"/>
    <w:rsid w:val="00A47850"/>
    <w:rsid w:val="00A530DF"/>
    <w:rsid w:val="00A72F04"/>
    <w:rsid w:val="00A83D42"/>
    <w:rsid w:val="00AA1D6D"/>
    <w:rsid w:val="00AB70B2"/>
    <w:rsid w:val="00AE100F"/>
    <w:rsid w:val="00AF0A93"/>
    <w:rsid w:val="00B011CF"/>
    <w:rsid w:val="00B15782"/>
    <w:rsid w:val="00B233F3"/>
    <w:rsid w:val="00B47668"/>
    <w:rsid w:val="00B602BC"/>
    <w:rsid w:val="00BB330A"/>
    <w:rsid w:val="00BD1A6A"/>
    <w:rsid w:val="00BE0288"/>
    <w:rsid w:val="00C21478"/>
    <w:rsid w:val="00C22A4E"/>
    <w:rsid w:val="00C55061"/>
    <w:rsid w:val="00C600AE"/>
    <w:rsid w:val="00C85D0F"/>
    <w:rsid w:val="00CA2FB9"/>
    <w:rsid w:val="00CB6B3F"/>
    <w:rsid w:val="00CC3262"/>
    <w:rsid w:val="00CD0C25"/>
    <w:rsid w:val="00CF6A5D"/>
    <w:rsid w:val="00D32298"/>
    <w:rsid w:val="00D57C45"/>
    <w:rsid w:val="00D62D4B"/>
    <w:rsid w:val="00D926FB"/>
    <w:rsid w:val="00DE63BF"/>
    <w:rsid w:val="00E04AB0"/>
    <w:rsid w:val="00E2703B"/>
    <w:rsid w:val="00E3396B"/>
    <w:rsid w:val="00E42051"/>
    <w:rsid w:val="00E504B7"/>
    <w:rsid w:val="00E62504"/>
    <w:rsid w:val="00EC024A"/>
    <w:rsid w:val="00EC0BE8"/>
    <w:rsid w:val="00EC234F"/>
    <w:rsid w:val="00F25968"/>
    <w:rsid w:val="00F471DE"/>
    <w:rsid w:val="00F663C7"/>
    <w:rsid w:val="00F849BF"/>
    <w:rsid w:val="00F92249"/>
    <w:rsid w:val="00FE3125"/>
    <w:rsid w:val="00FF091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050D2F"/>
  <w15:chartTrackingRefBased/>
  <w15:docId w15:val="{6159788B-6A20-451E-9AEA-DA0BD86AC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unhideWhenUsed="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725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8B59C9"/>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CoverNormal12a">
    <w:name w:val="CoverNormal12a"/>
    <w:basedOn w:val="Normal"/>
    <w:rsid w:val="00A530DF"/>
    <w:pPr>
      <w:spacing w:after="240"/>
      <w:ind w:left="1418"/>
    </w:pPr>
  </w:style>
  <w:style w:type="paragraph" w:customStyle="1" w:styleId="CoverNormal24a">
    <w:name w:val="CoverNormal24a"/>
    <w:basedOn w:val="Normal"/>
    <w:rsid w:val="005D1F88"/>
    <w:pPr>
      <w:spacing w:after="480"/>
      <w:ind w:left="1417"/>
    </w:pPr>
  </w:style>
  <w:style w:type="paragraph" w:customStyle="1" w:styleId="NormalHanging12a">
    <w:name w:val="NormalHanging12a"/>
    <w:basedOn w:val="Normal"/>
    <w:rsid w:val="000B3501"/>
    <w:pPr>
      <w:spacing w:after="240"/>
      <w:ind w:left="567" w:hanging="567"/>
    </w:pPr>
  </w:style>
  <w:style w:type="paragraph" w:customStyle="1" w:styleId="CoverDocType24a">
    <w:name w:val="CoverDocType24a"/>
    <w:basedOn w:val="Normal"/>
    <w:rsid w:val="007D35C5"/>
    <w:pPr>
      <w:spacing w:after="480"/>
      <w:ind w:left="1418"/>
    </w:pPr>
    <w:rPr>
      <w:rFonts w:ascii="Arial" w:hAnsi="Arial"/>
      <w:b/>
      <w:sz w:val="48"/>
    </w:rPr>
  </w:style>
  <w:style w:type="paragraph" w:styleId="Header">
    <w:name w:val="header"/>
    <w:basedOn w:val="Normal"/>
    <w:link w:val="HeaderChar"/>
    <w:semiHidden/>
    <w:rsid w:val="00440589"/>
    <w:pPr>
      <w:tabs>
        <w:tab w:val="center" w:pos="4513"/>
        <w:tab w:val="right" w:pos="9026"/>
      </w:tabs>
    </w:pPr>
  </w:style>
  <w:style w:type="paragraph" w:customStyle="1" w:styleId="CoverReferenceRC">
    <w:name w:val="CoverReferenceRC"/>
    <w:basedOn w:val="Normal"/>
    <w:rsid w:val="007D35C5"/>
    <w:pPr>
      <w:tabs>
        <w:tab w:val="left" w:pos="6804"/>
      </w:tabs>
    </w:pPr>
    <w:rPr>
      <w:rFonts w:ascii="Arial" w:hAnsi="Arial"/>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52855"/>
    <w:pPr>
      <w:jc w:val="center"/>
    </w:pPr>
    <w:rPr>
      <w:rFonts w:ascii="Arial" w:hAnsi="Arial" w:cs="Arial"/>
      <w:i/>
      <w:sz w:val="22"/>
      <w:szCs w:val="22"/>
    </w:rPr>
  </w:style>
  <w:style w:type="paragraph" w:customStyle="1" w:styleId="LineTop">
    <w:name w:val="LineTop"/>
    <w:basedOn w:val="Normal"/>
    <w:next w:val="Normal"/>
    <w:rsid w:val="0075285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D35C5"/>
    <w:pPr>
      <w:pBdr>
        <w:bottom w:val="single" w:sz="4" w:space="1" w:color="auto"/>
      </w:pBdr>
      <w:spacing w:after="240"/>
      <w:jc w:val="center"/>
    </w:pPr>
    <w:rPr>
      <w:rFonts w:ascii="Arial" w:hAnsi="Arial" w:cs="Arial"/>
      <w:sz w:val="16"/>
      <w:szCs w:val="16"/>
    </w:rPr>
  </w:style>
  <w:style w:type="paragraph" w:customStyle="1" w:styleId="CoverBold">
    <w:name w:val="CoverBold"/>
    <w:basedOn w:val="Normal"/>
    <w:rsid w:val="007E7F10"/>
    <w:pPr>
      <w:ind w:left="1417"/>
    </w:pPr>
    <w:rPr>
      <w:b/>
    </w:rPr>
  </w:style>
  <w:style w:type="paragraph" w:customStyle="1" w:styleId="EPName">
    <w:name w:val="EPName"/>
    <w:basedOn w:val="Normal"/>
    <w:link w:val="EPNameChar"/>
    <w:rsid w:val="00CA2FB9"/>
    <w:pPr>
      <w:spacing w:before="80" w:after="80"/>
    </w:pPr>
    <w:rPr>
      <w:rFonts w:ascii="Arial Narrow" w:hAnsi="Arial Narrow" w:cs="Arial"/>
      <w:b/>
      <w:sz w:val="32"/>
      <w:szCs w:val="22"/>
    </w:rPr>
  </w:style>
  <w:style w:type="paragraph" w:customStyle="1" w:styleId="EPTerm">
    <w:name w:val="EPTerm"/>
    <w:basedOn w:val="Normal"/>
    <w:next w:val="Normal"/>
    <w:rsid w:val="00CA2FB9"/>
    <w:pPr>
      <w:spacing w:after="80"/>
    </w:pPr>
    <w:rPr>
      <w:rFonts w:ascii="Arial" w:hAnsi="Arial" w:cs="Arial"/>
      <w:sz w:val="20"/>
      <w:szCs w:val="22"/>
    </w:rPr>
  </w:style>
  <w:style w:type="paragraph" w:customStyle="1" w:styleId="EPLogo">
    <w:name w:val="EPLogo"/>
    <w:basedOn w:val="Normal"/>
    <w:qFormat/>
    <w:rsid w:val="00CA2FB9"/>
    <w:pPr>
      <w:jc w:val="right"/>
    </w:pPr>
  </w:style>
  <w:style w:type="paragraph" w:customStyle="1" w:styleId="CoverDate">
    <w:name w:val="CoverDate"/>
    <w:basedOn w:val="Normal"/>
    <w:rsid w:val="00600326"/>
    <w:pPr>
      <w:spacing w:before="240" w:after="1200"/>
    </w:pPr>
  </w:style>
  <w:style w:type="paragraph" w:customStyle="1" w:styleId="CoverNormal">
    <w:name w:val="CoverNormal"/>
    <w:basedOn w:val="Normal"/>
    <w:rsid w:val="007E7F10"/>
    <w:pPr>
      <w:ind w:left="1418"/>
    </w:pPr>
  </w:style>
  <w:style w:type="paragraph" w:customStyle="1" w:styleId="EPFooterRC">
    <w:name w:val="EPFooterRC"/>
    <w:basedOn w:val="Normal"/>
    <w:rsid w:val="00E2703B"/>
    <w:pPr>
      <w:tabs>
        <w:tab w:val="center" w:pos="4535"/>
        <w:tab w:val="left" w:pos="6662"/>
      </w:tabs>
    </w:pPr>
    <w:rPr>
      <w:sz w:val="22"/>
    </w:rPr>
  </w:style>
  <w:style w:type="paragraph" w:customStyle="1" w:styleId="EPComma">
    <w:name w:val="EPComma"/>
    <w:basedOn w:val="Normal"/>
    <w:link w:val="EPCommaChar"/>
    <w:rsid w:val="00600326"/>
    <w:pPr>
      <w:spacing w:before="480" w:after="240"/>
    </w:pPr>
  </w:style>
  <w:style w:type="character" w:customStyle="1" w:styleId="HeaderChar">
    <w:name w:val="Header Char"/>
    <w:basedOn w:val="DefaultParagraphFont"/>
    <w:link w:val="Header"/>
    <w:semiHidden/>
    <w:rsid w:val="00440589"/>
    <w:rPr>
      <w:sz w:val="24"/>
    </w:rPr>
  </w:style>
  <w:style w:type="paragraph" w:styleId="Footer">
    <w:name w:val="footer"/>
    <w:basedOn w:val="Normal"/>
    <w:link w:val="FooterChar"/>
    <w:semiHidden/>
    <w:unhideWhenUsed/>
    <w:rsid w:val="00737093"/>
    <w:pPr>
      <w:tabs>
        <w:tab w:val="center" w:pos="4513"/>
        <w:tab w:val="right" w:pos="9026"/>
      </w:tabs>
    </w:pPr>
  </w:style>
  <w:style w:type="character" w:customStyle="1" w:styleId="FooterChar">
    <w:name w:val="Footer Char"/>
    <w:basedOn w:val="DefaultParagraphFont"/>
    <w:link w:val="Footer"/>
    <w:semiHidden/>
    <w:rsid w:val="00737093"/>
    <w:rPr>
      <w:sz w:val="24"/>
    </w:rPr>
  </w:style>
  <w:style w:type="character" w:customStyle="1" w:styleId="EPCommaChar">
    <w:name w:val="EPComma Char"/>
    <w:basedOn w:val="DefaultParagraphFont"/>
    <w:link w:val="EPComma"/>
    <w:rsid w:val="0031132A"/>
    <w:rPr>
      <w:sz w:val="24"/>
    </w:rPr>
  </w:style>
  <w:style w:type="character" w:styleId="CommentReference">
    <w:name w:val="annotation reference"/>
    <w:basedOn w:val="DefaultParagraphFont"/>
    <w:rsid w:val="0031132A"/>
    <w:rPr>
      <w:sz w:val="16"/>
      <w:szCs w:val="16"/>
    </w:rPr>
  </w:style>
  <w:style w:type="paragraph" w:styleId="CommentText">
    <w:name w:val="annotation text"/>
    <w:basedOn w:val="Normal"/>
    <w:link w:val="CommentTextChar"/>
    <w:rsid w:val="0031132A"/>
    <w:rPr>
      <w:sz w:val="20"/>
    </w:rPr>
  </w:style>
  <w:style w:type="character" w:customStyle="1" w:styleId="CommentTextChar">
    <w:name w:val="Comment Text Char"/>
    <w:basedOn w:val="DefaultParagraphFont"/>
    <w:link w:val="CommentText"/>
    <w:rsid w:val="0031132A"/>
  </w:style>
  <w:style w:type="paragraph" w:styleId="Revision">
    <w:name w:val="Revision"/>
    <w:hidden/>
    <w:uiPriority w:val="99"/>
    <w:semiHidden/>
    <w:rsid w:val="0031132A"/>
    <w:rPr>
      <w:sz w:val="24"/>
    </w:rPr>
  </w:style>
  <w:style w:type="paragraph" w:styleId="CommentSubject">
    <w:name w:val="annotation subject"/>
    <w:basedOn w:val="CommentText"/>
    <w:next w:val="CommentText"/>
    <w:link w:val="CommentSubjectChar"/>
    <w:semiHidden/>
    <w:unhideWhenUsed/>
    <w:rsid w:val="0031132A"/>
    <w:rPr>
      <w:b/>
      <w:bCs/>
    </w:rPr>
  </w:style>
  <w:style w:type="character" w:customStyle="1" w:styleId="CommentSubjectChar">
    <w:name w:val="Comment Subject Char"/>
    <w:basedOn w:val="CommentTextChar"/>
    <w:link w:val="CommentSubject"/>
    <w:semiHidden/>
    <w:rsid w:val="0031132A"/>
    <w:rPr>
      <w:b/>
      <w:bCs/>
    </w:rPr>
  </w:style>
  <w:style w:type="paragraph" w:customStyle="1" w:styleId="EPFooter">
    <w:name w:val="EPFooter"/>
    <w:basedOn w:val="Normal"/>
    <w:link w:val="EPFooterChar"/>
    <w:rsid w:val="00E62504"/>
    <w:pPr>
      <w:tabs>
        <w:tab w:val="center" w:pos="4535"/>
        <w:tab w:val="right" w:pos="9071"/>
      </w:tabs>
      <w:spacing w:before="240" w:after="240"/>
    </w:pPr>
    <w:rPr>
      <w:color w:val="010000"/>
      <w:sz w:val="22"/>
      <w:szCs w:val="22"/>
    </w:rPr>
  </w:style>
  <w:style w:type="character" w:customStyle="1" w:styleId="EPNameChar">
    <w:name w:val="EPName Char"/>
    <w:basedOn w:val="DefaultParagraphFont"/>
    <w:link w:val="EPName"/>
    <w:rsid w:val="00E62504"/>
    <w:rPr>
      <w:rFonts w:ascii="Arial Narrow" w:hAnsi="Arial Narrow" w:cs="Arial"/>
      <w:b/>
      <w:sz w:val="32"/>
      <w:szCs w:val="22"/>
    </w:rPr>
  </w:style>
  <w:style w:type="character" w:customStyle="1" w:styleId="EPFooterChar">
    <w:name w:val="EPFooter Char"/>
    <w:basedOn w:val="EPNameChar"/>
    <w:link w:val="EPFooter"/>
    <w:rsid w:val="00E62504"/>
    <w:rPr>
      <w:rFonts w:ascii="Arial Narrow" w:hAnsi="Arial Narrow" w:cs="Arial"/>
      <w:b w:val="0"/>
      <w:color w:val="01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3039</Words>
  <Characters>20290</Characters>
  <Application>Microsoft Office Word</Application>
  <DocSecurity>0</DocSecurity>
  <Lines>330</Lines>
  <Paragraphs>80</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23273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creator>MORAN Rory Patrick</dc:creator>
  <cp:lastModifiedBy>ANDERSEN Anne Fonnesbaek</cp:lastModifiedBy>
  <cp:revision>2</cp:revision>
  <cp:lastPrinted>2026-10-07T08:20:00Z</cp:lastPrinted>
  <dcterms:created xsi:type="dcterms:W3CDTF">2026-10-07T17:54:00Z</dcterms:created>
  <dcterms:modified xsi:type="dcterms:W3CDTF">2026-10-07T17:54:00Z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1352170</vt:lpwstr>
  </property>
  <property fmtid="{D5CDD505-2E9C-101B-9397-08002B2CF9AE}" pid="4" name="&lt;Model&gt;">
    <vt:lpwstr>RC</vt:lpwstr>
  </property>
  <property fmtid="{D5CDD505-2E9C-101B-9397-08002B2CF9AE}" pid="5" name="&lt;ModelCod&gt;">
    <vt:lpwstr>\\eiciLUXpr1\pdocep$\DocEP\DOCS\General\RC\RC.dotx(14/10/2024 09:17:00)</vt:lpwstr>
  </property>
  <property fmtid="{D5CDD505-2E9C-101B-9397-08002B2CF9AE}" pid="6" name="&lt;ModelTra&gt;">
    <vt:lpwstr>\\eiciLUXpr1\pdocep$\DocEP\TRANSFIL\EN\RC.EN(04/03/2026 16:02:04)</vt:lpwstr>
  </property>
  <property fmtid="{D5CDD505-2E9C-101B-9397-08002B2CF9AE}" pid="7" name="&lt;Type&gt;">
    <vt:lpwstr>RC</vt:lpwstr>
  </property>
  <property fmtid="{D5CDD505-2E9C-101B-9397-08002B2CF9AE}" pid="8" name="Bookout">
    <vt:lpwstr>OK - 2026/10/07 19:53</vt:lpwstr>
  </property>
  <property fmtid="{D5CDD505-2E9C-101B-9397-08002B2CF9AE}" pid="9" name="Created with">
    <vt:lpwstr>10.3.1 Build [20260902]</vt:lpwstr>
  </property>
  <property fmtid="{D5CDD505-2E9C-101B-9397-08002B2CF9AE}" pid="10" name="FooterPath">
    <vt:lpwstr>RC\1352170DA.docx</vt:lpwstr>
  </property>
  <property fmtid="{D5CDD505-2E9C-101B-9397-08002B2CF9AE}" pid="11" name="LastEdited with">
    <vt:lpwstr>10.3.1 Build [20260902]</vt:lpwstr>
  </property>
  <property fmtid="{D5CDD505-2E9C-101B-9397-08002B2CF9AE}" pid="12" name="RegistreCheck">
    <vt:lpwstr>OK</vt:lpwstr>
  </property>
  <property fmtid="{D5CDD505-2E9C-101B-9397-08002B2CF9AE}" pid="13" name="SDLStudio">
    <vt:lpwstr/>
  </property>
</Properties>
</file>