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304DF404" w:rsidR="006B7EE0" w:rsidRPr="007B39AB" w:rsidRDefault="0059510A" w:rsidP="00B41B8B">
      <w:pPr>
        <w:pStyle w:val="AmDateTabRC"/>
      </w:pPr>
      <w:bookmarkStart w:id="0" w:name="_GoBack"/>
      <w:bookmarkEnd w:id="0"/>
      <w:r>
        <w:rPr>
          <w:rStyle w:val="HideTWBExt"/>
        </w:rPr>
        <w:t>&lt;RepeatBlock-Amend&gt;</w:t>
      </w:r>
      <w:bookmarkStart w:id="1" w:name="restart"/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5B949FBF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6FC15816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675D429E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</w:r>
      <w:r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7FD1A6B3" w14:textId="4446001B" w:rsidR="006B7EE0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 w14:paraId="28F5122C" w14:textId="141FA2D0" w:rsidR="00C437B9" w:rsidRPr="007B39AB" w:rsidRDefault="0059510A" w:rsidP="00C437B9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14:paraId="5CC6E040" w14:textId="34DA32F7" w:rsidR="009F6CB7" w:rsidRPr="007B39AB" w:rsidRDefault="0059510A" w:rsidP="009F6CB7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Lynn Boylan, Marc Botenga, Luke Ming Flanagan</w:t>
      </w:r>
      <w:r>
        <w:rPr>
          <w:rStyle w:val="HideTWBExt"/>
          <w:b w:val="0"/>
        </w:rPr>
        <w:t>&lt;/Members&gt;</w:t>
      </w:r>
    </w:p>
    <w:p w14:paraId="5495CEEA" w14:textId="01FBACA5" w:rsidR="009F6CB7" w:rsidRPr="007B39AB" w:rsidRDefault="0059510A" w:rsidP="009F6CB7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</w:t>
      </w:r>
      <w:r>
        <w:t>nu The Left</w:t>
      </w:r>
      <w:r>
        <w:rPr>
          <w:rStyle w:val="HideTWBExt"/>
        </w:rPr>
        <w:t>&lt;/AuNomDe&gt;</w:t>
      </w:r>
    </w:p>
    <w:p w14:paraId="122FD4C8" w14:textId="77777777" w:rsidR="009F6CB7" w:rsidRPr="007B39AB" w:rsidRDefault="0059510A" w:rsidP="009F6CB7">
      <w:r>
        <w:rPr>
          <w:rStyle w:val="HideTWBExt"/>
        </w:rPr>
        <w:t>&lt;/RepeatBlock-By&gt;</w:t>
      </w:r>
    </w:p>
    <w:p w14:paraId="5002B41A" w14:textId="1C25E23C" w:rsidR="009F6CB7" w:rsidRPr="007B39AB" w:rsidRDefault="0059510A" w:rsidP="009F6CB7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12C4332C" w14:textId="7E31489C" w:rsidR="003A0922" w:rsidRPr="007B39AB" w:rsidRDefault="0059510A" w:rsidP="003A0922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0BEBDDC7" w14:textId="2268547D" w:rsidR="009F6CB7" w:rsidRPr="007B39AB" w:rsidRDefault="0059510A" w:rsidP="003857B7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72A7D702" w14:textId="5BB438A2" w:rsidR="009F6CB7" w:rsidRPr="007B39AB" w:rsidRDefault="0059510A" w:rsidP="009F6CB7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2BF05F04" w14:textId="7E76863D" w:rsidR="009F6CB7" w:rsidRPr="007B39AB" w:rsidRDefault="0059510A" w:rsidP="009F6CB7">
      <w:pPr>
        <w:pStyle w:val="NormalBold"/>
      </w:pPr>
      <w:r>
        <w:rPr>
          <w:rStyle w:val="HideTWBExt"/>
          <w:b w:val="0"/>
        </w:rPr>
        <w:t>&lt;Article&gt;</w:t>
      </w:r>
      <w:r>
        <w:t>Bod</w:t>
      </w:r>
      <w:r>
        <w:t xml:space="preserve"> 5 b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7B39AB" w:rsidRDefault="009F6CB7" w:rsidP="00650345">
            <w:pPr>
              <w:keepNext/>
            </w:pPr>
          </w:p>
        </w:tc>
      </w:tr>
      <w:tr w:rsidR="00D46749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5121E5A0" w:rsidR="009F6CB7" w:rsidRPr="007B39AB" w:rsidRDefault="0059510A" w:rsidP="00650345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6965CD17" w14:textId="0335B79F" w:rsidR="009F6CB7" w:rsidRPr="007B39AB" w:rsidRDefault="0059510A" w:rsidP="00650345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7B39AB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7B39AB" w:rsidRDefault="0059510A" w:rsidP="008949A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  <w:shd w:val="clear" w:color="auto" w:fill="FFFFFF"/>
              </w:rPr>
              <w:t xml:space="preserve">připomíná, že NATO a EU jsou různé organizace, které slouží velmi různému účelu a nemají ani stejné členy; </w:t>
            </w:r>
            <w:r>
              <w:rPr>
                <w:b/>
                <w:i/>
              </w:rPr>
              <w:t>lituje, že je NATO, vojenská aliance, směšována s EU;</w:t>
            </w:r>
          </w:p>
        </w:tc>
      </w:tr>
    </w:tbl>
    <w:p w14:paraId="1E7C2387" w14:textId="77777777" w:rsidR="009F6CB7" w:rsidRPr="007B39AB" w:rsidRDefault="0059510A" w:rsidP="009F6CB7">
      <w:pPr>
        <w:pStyle w:val="AmOrLang"/>
      </w:pPr>
      <w:r w:rsidRPr="007B39AB">
        <w:t xml:space="preserve">Or. </w:t>
      </w:r>
      <w:r w:rsidRPr="007B39AB">
        <w:rPr>
          <w:rStyle w:val="HideTWBExt"/>
        </w:rPr>
        <w:t>&lt;Original&gt;</w:t>
      </w:r>
      <w:r w:rsidR="004C35EC" w:rsidRPr="007B39AB">
        <w:rPr>
          <w:rStyle w:val="HideTWBInt"/>
        </w:rPr>
        <w:t>{EN}</w:t>
      </w:r>
      <w:proofErr w:type="gramStart"/>
      <w:r w:rsidR="004C35EC" w:rsidRPr="007B39AB">
        <w:t>en</w:t>
      </w:r>
      <w:proofErr w:type="gramEnd"/>
      <w:r w:rsidRPr="007B39AB">
        <w:rPr>
          <w:rStyle w:val="HideTWBExt"/>
        </w:rPr>
        <w:t>&lt;/Original&gt;</w:t>
      </w:r>
    </w:p>
    <w:p w14:paraId="1B6BBEFF" w14:textId="77777777" w:rsidR="005C6490" w:rsidRPr="007B39AB" w:rsidRDefault="0059510A" w:rsidP="005C6490">
      <w:pPr>
        <w:tabs>
          <w:tab w:val="left" w:pos="-720"/>
        </w:tabs>
      </w:pPr>
      <w:r>
        <w:br w:type="page"/>
      </w:r>
      <w:r>
        <w:rPr>
          <w:rStyle w:val="HideTWBExt"/>
        </w:rPr>
        <w:t>&lt;/Amend&gt;</w:t>
      </w:r>
      <w:bookmarkEnd w:id="1"/>
    </w:p>
    <w:p w14:paraId="0F8B0505" w14:textId="39971711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634C5620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0290E424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0B8CFCBE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</w:t>
      </w:r>
      <w:r>
        <w:t>2025</w:t>
      </w:r>
      <w:r>
        <w:rPr>
          <w:rStyle w:val="HideTWBExt"/>
        </w:rPr>
        <w:t>&lt;/NoDocSe&gt;</w:t>
      </w:r>
      <w:r>
        <w:t xml:space="preserve"> } </w:t>
      </w:r>
    </w:p>
    <w:p w14:paraId="3AC8B954" w14:textId="3E3145A2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 w14:paraId="417A8DBE" w14:textId="4A596DA8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&lt;/NumAm&gt;</w:t>
      </w:r>
    </w:p>
    <w:p w14:paraId="159C9276" w14:textId="37518E95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João Oliveira</w:t>
      </w:r>
      <w:r>
        <w:rPr>
          <w:rStyle w:val="HideTWBExt"/>
          <w:b w:val="0"/>
        </w:rPr>
        <w:t>&lt;/Members&gt;</w:t>
      </w:r>
    </w:p>
    <w:p w14:paraId="32AB6394" w14:textId="533EFA74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7417ECC5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54E330C2" w14:textId="05D6EF48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2AD27199" w14:textId="1FE25B13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665CBC5E" w14:textId="4C485583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0EB34E6C" w14:textId="06199563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0FD44AC5" w14:textId="6036489D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6 a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7B39AB" w:rsidRDefault="004C35EC" w:rsidP="00650345">
            <w:pPr>
              <w:keepNext/>
            </w:pPr>
          </w:p>
        </w:tc>
      </w:tr>
      <w:tr w:rsidR="00D46749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630FBCC6" w:rsidR="004C35EC" w:rsidRPr="007B39AB" w:rsidRDefault="0059510A" w:rsidP="00650345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2E929537" w14:textId="38037627" w:rsidR="004C35EC" w:rsidRPr="007B39AB" w:rsidRDefault="0059510A" w:rsidP="00650345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7B39AB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7B39AB" w:rsidRDefault="0059510A" w:rsidP="005A7FE9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6a.</w:t>
            </w:r>
            <w:r>
              <w:rPr>
                <w:b/>
                <w:i/>
              </w:rPr>
              <w:tab/>
              <w:t xml:space="preserve">je hluboce znepokojen tím, že světové vojenské výdaje stále rostou a dosahují rekordní úrovně; poukazuje na to, že závody ve zbrojení nezajistí bezpečnost evropských občanů, ale naopak v souladu s </w:t>
            </w:r>
            <w:r>
              <w:rPr>
                <w:b/>
                <w:i/>
              </w:rPr>
              <w:t xml:space="preserve">bezpečnostním dilematem zvýší riziko násilného konfliktu; vyzývá Komisi, aby aktivně podporovala nové smlouvy o kontrole zbrojení; </w:t>
            </w:r>
          </w:p>
        </w:tc>
      </w:tr>
    </w:tbl>
    <w:p w14:paraId="6363F18C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0C368691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22D52213" w14:textId="745CCA4E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</w:r>
      <w:r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6588EB9F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50C41FDB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0F070062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1AA671B1" w14:textId="4178FACC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</w:t>
      </w:r>
      <w:r>
        <w:rPr>
          <w:rStyle w:val="HideTWBExt"/>
        </w:rPr>
        <w:t>mAm&gt;</w:t>
      </w:r>
    </w:p>
    <w:p w14:paraId="7E644EB7" w14:textId="6E1A4391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&lt;/NumAm&gt;</w:t>
      </w:r>
    </w:p>
    <w:p w14:paraId="692CC441" w14:textId="533AD984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Lynn Boylan, Marc Botenga, Hanna Gedin, Jonas Sjöstedt</w:t>
      </w:r>
      <w:r>
        <w:rPr>
          <w:rStyle w:val="HideTWBExt"/>
          <w:b w:val="0"/>
        </w:rPr>
        <w:t>&lt;/Members&gt;</w:t>
      </w:r>
    </w:p>
    <w:p w14:paraId="7571E287" w14:textId="6C8FCF2F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2D0C4AFB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4BA5556D" w14:textId="72C64122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20CB1310" w14:textId="230C51B6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</w:t>
      </w:r>
      <w:r>
        <w:rPr>
          <w:rStyle w:val="HideTWBExt"/>
          <w:b w:val="0"/>
        </w:rPr>
        <w:t>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29A705D6" w14:textId="26028AB8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07979EFD" w14:textId="178C8122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5EBB04E2" w14:textId="3BE11972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14 a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7B39AB" w:rsidRDefault="004C35EC" w:rsidP="009F6FC0">
            <w:pPr>
              <w:keepNext/>
            </w:pPr>
          </w:p>
        </w:tc>
      </w:tr>
      <w:tr w:rsidR="00D46749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0E9B2470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1FCFBAE7" w14:textId="41657A7E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7B39AB" w:rsidRDefault="0059510A" w:rsidP="009F6FC0">
            <w:pPr>
              <w:pStyle w:val="Normal6a"/>
            </w:pPr>
            <w:r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7B39AB" w:rsidRDefault="0059510A" w:rsidP="008949A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14a.</w:t>
            </w:r>
            <w:r>
              <w:rPr>
                <w:b/>
                <w:i/>
              </w:rPr>
              <w:tab/>
              <w:t xml:space="preserve">připomíná předběžná </w:t>
            </w:r>
            <w:r>
              <w:rPr>
                <w:b/>
                <w:i/>
              </w:rPr>
              <w:t>opatření Mezinárodního soudního dvora ve věci uplatňování Úmluvy o zabránění a trestání zločinu genocidia v pásmu Gazy (Jihoafrická republika v. Izrael); zdůrazňuje, že mezinárodní právo je nutné dodržovat a respektovat; vyzývá Radu a Komisi, aby zajistily</w:t>
            </w:r>
            <w:r>
              <w:rPr>
                <w:b/>
                <w:i/>
              </w:rPr>
              <w:t>, že EU se nebude v žádném případě podílet za porušování mezinárodního práva, mimo jiné podle Úmluvy o zabránění a trestání zločinu genocidia, a to se zvláštním ohledem na úlohu evropského zbrojního průmyslu při poskytování zbraní izraelské armádě;</w:t>
            </w:r>
          </w:p>
        </w:tc>
      </w:tr>
    </w:tbl>
    <w:p w14:paraId="644C68AC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</w:t>
      </w:r>
      <w:r w:rsidRPr="007B39AB">
        <w:rPr>
          <w:rStyle w:val="HideTWBExt"/>
          <w:rFonts w:eastAsiaTheme="majorEastAsia"/>
        </w:rPr>
        <w:t>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62587EE0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780842E5" w14:textId="26C9F817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6FFB3E21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148B6A68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437DD958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4E07DC56" w14:textId="26AD9DA4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 w14:paraId="1E9CA124" w14:textId="6E2123DA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&lt;/NumAm&gt;</w:t>
      </w:r>
    </w:p>
    <w:p w14:paraId="79DEAA02" w14:textId="73EDABDB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Jonas Sjöstedt, Hanna Gedin</w:t>
      </w:r>
      <w:r>
        <w:rPr>
          <w:rStyle w:val="HideTWBExt"/>
          <w:b w:val="0"/>
        </w:rPr>
        <w:t>&lt;/Members&gt;</w:t>
      </w:r>
    </w:p>
    <w:p w14:paraId="6E2CF6F3" w14:textId="4E9D2D0B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</w:t>
      </w:r>
      <w:r>
        <w:t>e Left</w:t>
      </w:r>
      <w:r>
        <w:rPr>
          <w:rStyle w:val="HideTWBExt"/>
        </w:rPr>
        <w:t>&lt;/AuNomDe&gt;</w:t>
      </w:r>
    </w:p>
    <w:p w14:paraId="4E0ABB97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0CCB7EAE" w14:textId="339FC0E7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75C77F1F" w14:textId="4729A1D6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0164C505" w14:textId="4657DA25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11E714EE" w14:textId="403FDF26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691AA635" w14:textId="1D46BB69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15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7B39AB" w:rsidRDefault="004C35EC" w:rsidP="009F6FC0">
            <w:pPr>
              <w:keepNext/>
            </w:pPr>
          </w:p>
        </w:tc>
      </w:tr>
      <w:tr w:rsidR="00D46749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2C3BE264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476F53BD" w14:textId="67C9DD14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7B39AB" w:rsidRDefault="0059510A" w:rsidP="009F6FC0">
            <w:pPr>
              <w:pStyle w:val="Normal6a"/>
            </w:pPr>
            <w:r>
              <w:t>15.</w:t>
            </w:r>
            <w:r>
              <w:tab/>
              <w:t>naléhavě vyzývá EU a její členské státy, aby stály pevně na straně Ukrajiny; opakuje své přesvědčení, že o budoucnosti Evropy bude rozhodnuto na ukrajinských bojištích a že trajektorie ruské války</w:t>
            </w:r>
            <w:r>
              <w:t xml:space="preserve"> proti Ukrajině se rozhodujícím způsobem změní; zdůrazňuje, že taková změna nyní závisí téměř výhradně na Evropě; vyzývá proto členské státy, aby ještě před tím, než budou uzavřena jednání, poskytovaly Ukrajině více zbraní a munice; varuje, že pokud by EU </w:t>
            </w:r>
            <w:r>
              <w:t>ve své podpoře selhala a Ukrajina by byla nucena kapitulovat, Rusko by se obrátilo proti dalším zemím, mezi nimiž by pravděpodobně byly členské státy EU; vyzývá členské státy EU, mezinárodní partnery a spojence v NATO, aby zrušili veškerá omezení znemožňuj</w:t>
            </w:r>
            <w:r>
              <w:t xml:space="preserve">ící použití západních zbraňových systémů dodaných Ukrajině proti vojenským cílům na ruském území; vyzývá EU a její členské státy, aby aktivně usilovaly o zachování a dosažení co nejširší mezinárodní podpory pro Ukrajinu a o nalezení mírového řešení války, </w:t>
            </w:r>
            <w:r>
              <w:t xml:space="preserve">které se musí zakládat na plném respektování nezávislosti, svrchovanosti a územní celistvosti Ukrajiny, na zásadách mezinárodního práva, odpovědnosti za </w:t>
            </w:r>
            <w:r>
              <w:lastRenderedPageBreak/>
              <w:t>válečné zločiny a zločin agrese a na ruských reparacích za obrovské škody, které Rusko na Ukrajině napá</w:t>
            </w:r>
            <w:r>
              <w:t>chalo; naléhavě vyzývá EU a její členské státy, aby se podílely na vytvoření solidních budoucích bezpečnostních záruk pro Ukrajinu;</w:t>
            </w:r>
          </w:p>
        </w:tc>
        <w:tc>
          <w:tcPr>
            <w:tcW w:w="4876" w:type="dxa"/>
          </w:tcPr>
          <w:p w14:paraId="40BA5FDF" w14:textId="4997B8FF" w:rsidR="00E946DC" w:rsidRPr="007B39AB" w:rsidRDefault="0059510A" w:rsidP="004E6BC0">
            <w:pPr>
              <w:pStyle w:val="Normal6a"/>
              <w:rPr>
                <w:szCs w:val="24"/>
              </w:rPr>
            </w:pPr>
            <w:r>
              <w:rPr>
                <w:rStyle w:val="Aucun"/>
              </w:rPr>
              <w:lastRenderedPageBreak/>
              <w:t>15.</w:t>
            </w:r>
            <w:r>
              <w:rPr>
                <w:rStyle w:val="Aucun"/>
              </w:rPr>
              <w:tab/>
              <w:t>naléhavě vyzývá EU a její členské státy, aby stály pevně na straně Ukrajiny; opakuje své přesvědčení, že o budoucnosti E</w:t>
            </w:r>
            <w:r>
              <w:rPr>
                <w:rStyle w:val="Aucun"/>
              </w:rPr>
              <w:t>vropy bude rozhodnuto na ukrajinských bojištích a že trajektorie ruské války proti Ukrajině se rozhodujícím způsobem změní; zdůrazňuje, že taková změna nyní závisí téměř výhradně na Evropě; vyzývá proto členské státy, aby ještě před tím, než budou uzavřena</w:t>
            </w:r>
            <w:r>
              <w:rPr>
                <w:rStyle w:val="Aucun"/>
              </w:rPr>
              <w:t xml:space="preserve"> jednání, poskytovaly Ukrajině více zbraní a munice; varuje, že pokud by EU ve své podpoře selhala a Ukrajina by byla nucena kapitulovat, Rusko by se obrátilo proti dalším zemím, mezi nimiž by pravděpodobně byly členské státy EU; vyzývá členské státy EU, m</w:t>
            </w:r>
            <w:r>
              <w:rPr>
                <w:rStyle w:val="Aucun"/>
              </w:rPr>
              <w:t>ezinárodní partnery a spojence v NATO, aby zrušili veškerá omezení znemožňující použití západních zbraňových systémů dodaných Ukrajině proti vojenským cílům na ruském území; vyzývá EU a její členské státy, aby aktivně usilovaly o zachování a dosažení co ne</w:t>
            </w:r>
            <w:r>
              <w:rPr>
                <w:rStyle w:val="Aucun"/>
              </w:rPr>
              <w:t xml:space="preserve">jširší mezinárodní podpory pro Ukrajinu a o nalezení mírového řešení války, které se musí zakládat na plném respektování nezávislosti, svrchovanosti a územní celistvosti Ukrajiny, na zásadách mezinárodního práva, odpovědnosti za </w:t>
            </w:r>
            <w:r>
              <w:rPr>
                <w:rStyle w:val="Aucun"/>
              </w:rPr>
              <w:lastRenderedPageBreak/>
              <w:t>válečné zločiny a zločin ag</w:t>
            </w:r>
            <w:r>
              <w:rPr>
                <w:rStyle w:val="Aucun"/>
              </w:rPr>
              <w:t xml:space="preserve">rese a na ruských reparacích za obrovské škody, které Rusko na Ukrajině napáchalo; naléhavě vyzývá EU a její členské státy, aby se podílely na vytvoření solidních budoucích bezpečnostních záruk pro Ukrajinu; </w:t>
            </w:r>
            <w:r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naléhavě vyzývá EU a její členské státy, aby bez</w:t>
            </w:r>
            <w:r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váhání podporovaly mezinárodní právo a světový řád založený na pravidlech; v této souvislosti připomíná probíhající vyšetřování brutálních činů, které Izrael páchá na palestinském obyvatelstvu; zdůrazňuje, že mezinárodní právo má zásadní význam pro evrops</w:t>
            </w:r>
            <w:r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kou bezpečnost; znovu vyjadřuje svou podporu Mezinárodnímu soudnímu dvoru, Mezinárodnímu trestnímu soudu a dalším mezinárodním orgánům při vyšetřování zločinů proti lidskosti a válečných zločinů;</w:t>
            </w:r>
            <w:r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7B39AB" w:rsidRDefault="0059510A" w:rsidP="004C35EC">
      <w:pPr>
        <w:pStyle w:val="AmOrLang"/>
      </w:pPr>
      <w:r w:rsidRPr="007B39AB">
        <w:lastRenderedPageBreak/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7DAEE57F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39A72ACE" w14:textId="2D3F579C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5D21E971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</w:t>
      </w:r>
      <w:r>
        <w:rPr>
          <w:rStyle w:val="HideTWBExt"/>
        </w:rPr>
        <w:t>&gt;</w:t>
      </w:r>
      <w:r>
        <w:t xml:space="preserve"> } </w:t>
      </w:r>
    </w:p>
    <w:p w14:paraId="79056E43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6063F4DA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75B53A6A" w14:textId="16252CE7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 w14:paraId="448EF1F0" w14:textId="6460E977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&lt;/NumAm&gt;</w:t>
      </w:r>
    </w:p>
    <w:p w14:paraId="3AE460B9" w14:textId="3C817972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Jonas Sjöstedt, Hanna Gedin</w:t>
      </w:r>
      <w:r>
        <w:rPr>
          <w:rStyle w:val="HideTWBExt"/>
          <w:b w:val="0"/>
        </w:rPr>
        <w:t>&lt;/Members&gt;</w:t>
      </w:r>
    </w:p>
    <w:p w14:paraId="665F7F8F" w14:textId="3667C6EB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78AD6F6E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3098D10A" w14:textId="22B60B9C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71982CB2" w14:textId="0A620F46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75F78E1D" w14:textId="7C6E1D1F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3513ECA4" w14:textId="2F419E52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586A1E07" w14:textId="4BA26230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15 a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7B39AB" w:rsidRDefault="004C35EC" w:rsidP="009F6FC0">
            <w:pPr>
              <w:keepNext/>
            </w:pPr>
          </w:p>
        </w:tc>
      </w:tr>
      <w:tr w:rsidR="00D46749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1C02BE68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010D2BD7" w14:textId="4F1C57FB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7B39AB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7B39AB" w:rsidRDefault="0059510A" w:rsidP="005A7FE9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15a.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shd w:val="clear" w:color="auto" w:fill="FFFFFF"/>
              </w:rPr>
              <w:t>považuje za pozitivní, že několik členských států podporuje egyptský plán obnovy Gazy; vyzývá Komisi, aby byla při p</w:t>
            </w:r>
            <w:r>
              <w:rPr>
                <w:b/>
                <w:i/>
                <w:shd w:val="clear" w:color="auto" w:fill="FFFFFF"/>
              </w:rPr>
              <w:t>rovádění tohoto plánu nápomocna; opakuje, že vyjednané dvoustátní řešení, podle něhož mohou Palestinci a Izraelci žít v mírovém soužití, závisí na tom, zda bude palestinská společnost obnovena a zda bude životaschopná; uznává, že světové společenství má zá</w:t>
            </w:r>
            <w:r>
              <w:rPr>
                <w:b/>
                <w:i/>
                <w:shd w:val="clear" w:color="auto" w:fill="FFFFFF"/>
              </w:rPr>
              <w:t>sadní význam pro obnovu Gazy; opakuje, že evropská bezpečnost je plně propojena s dodržováním mezinárodního práva a mírovými řešeními konfliktů v našem bezprostředním okolí;</w:t>
            </w:r>
          </w:p>
        </w:tc>
      </w:tr>
    </w:tbl>
    <w:p w14:paraId="145420FB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7A81EBF0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65453D36" w14:textId="7210B98F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2C4A3788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36411A00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7A8F3150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6263B68F" w14:textId="1344641C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</w:t>
      </w:r>
      <w:r>
        <w:t>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 w14:paraId="265F6664" w14:textId="484607FD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&lt;/NumAm&gt;</w:t>
      </w:r>
    </w:p>
    <w:p w14:paraId="34E7C705" w14:textId="68702FA3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Jonas Sjöstedt, Hanna Gedin</w:t>
      </w:r>
      <w:r>
        <w:rPr>
          <w:rStyle w:val="HideTWBExt"/>
          <w:b w:val="0"/>
        </w:rPr>
        <w:t>&lt;/Members&gt;</w:t>
      </w:r>
    </w:p>
    <w:p w14:paraId="3ACAE99A" w14:textId="337BCD5A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15708A2C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19716991" w14:textId="6DA62863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</w:t>
      </w:r>
      <w:r>
        <w:rPr>
          <w:rStyle w:val="HideTWBExt"/>
          <w:b w:val="0"/>
        </w:rPr>
        <w:t>reType&gt;</w:t>
      </w:r>
    </w:p>
    <w:p w14:paraId="2EEBA044" w14:textId="00DB8A7F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20701A36" w14:textId="75D797AE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07AA445D" w14:textId="2FA3F85F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2A0D66D9" w14:textId="0FA46817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20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7B39AB" w:rsidRDefault="004C35EC" w:rsidP="009F6FC0">
            <w:pPr>
              <w:keepNext/>
            </w:pPr>
          </w:p>
        </w:tc>
      </w:tr>
      <w:tr w:rsidR="00D46749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4EBBCCF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07E37E27" w14:textId="15ADDE55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7B39AB" w:rsidRDefault="0059510A" w:rsidP="009F6FC0">
            <w:pPr>
              <w:pStyle w:val="Normal6a"/>
            </w:pPr>
            <w:r>
              <w:t>20.</w:t>
            </w:r>
            <w:r>
              <w:tab/>
            </w:r>
            <w:r>
              <w:rPr>
                <w:rStyle w:val="Aucun"/>
              </w:rPr>
              <w:t xml:space="preserve">vyzývá Radu </w:t>
            </w:r>
            <w:r>
              <w:rPr>
                <w:rStyle w:val="Aucun"/>
              </w:rPr>
              <w:t>a členské státy, aby přezkoumaly a posílily prosazování stávajících sankcí a aby přijaly a důsledně uplatňovaly omezující opatření vůči všem subjektům a třetím zemím, které usnadňují obcházení sankcí, poskytují ruskému vojenskému komplexu vojenské technolo</w:t>
            </w:r>
            <w:r>
              <w:rPr>
                <w:rStyle w:val="Aucun"/>
              </w:rPr>
              <w:t>gie a vybavení a technologie a vybavení dvojího užití;</w:t>
            </w:r>
          </w:p>
        </w:tc>
        <w:tc>
          <w:tcPr>
            <w:tcW w:w="4876" w:type="dxa"/>
          </w:tcPr>
          <w:p w14:paraId="443282E8" w14:textId="5CBD1031" w:rsidR="00CD6B1C" w:rsidRPr="007B39AB" w:rsidRDefault="0059510A" w:rsidP="004B4D8C">
            <w:pPr>
              <w:pStyle w:val="Normal6a"/>
              <w:rPr>
                <w:b/>
                <w:i/>
                <w:szCs w:val="24"/>
              </w:rPr>
            </w:pPr>
            <w:r>
              <w:t>20.</w:t>
            </w:r>
            <w:r>
              <w:rPr>
                <w:b/>
                <w:i/>
              </w:rPr>
              <w:tab/>
            </w:r>
            <w:r>
              <w:rPr>
                <w:rStyle w:val="Aucun"/>
              </w:rPr>
              <w:t>vyzývá Radu a členské státy, aby přezkoumaly a posílily prosazování stávajících sankcí a aby přijaly a důsledně uplatňovaly omezující opatření vůči všem subjektům a třetím zemím, které usnadňují ob</w:t>
            </w:r>
            <w:r>
              <w:rPr>
                <w:rStyle w:val="Aucun"/>
              </w:rPr>
              <w:t xml:space="preserve">cházení sankcí, poskytují ruskému vojenskému komplexu vojenské technologie a vybavení a technologie a vybavení dvojího užití; </w:t>
            </w:r>
            <w:r>
              <w:rPr>
                <w:rStyle w:val="Aucun"/>
                <w:b/>
                <w:i/>
              </w:rPr>
              <w:t>vyzývá členské státy, aby věnovaly zvláštní pozornost ruské stínové flotile a bezpečnostním a environmentálním rizikům, která před</w:t>
            </w:r>
            <w:r>
              <w:rPr>
                <w:rStyle w:val="Aucun"/>
                <w:b/>
                <w:i/>
              </w:rPr>
              <w:t>stavuje;</w:t>
            </w:r>
          </w:p>
        </w:tc>
      </w:tr>
    </w:tbl>
    <w:p w14:paraId="6228DB46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5470FF98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0E0A4B08" w14:textId="06ABA481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3BED1918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11E8877C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20A26AC1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</w:t>
      </w:r>
      <w:r>
        <w:rPr>
          <w:rStyle w:val="HideTWBExt"/>
        </w:rPr>
        <w:t>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11E62543" w14:textId="3F3C7DC7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 w14:paraId="45304931" w14:textId="143A54FB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&lt;/NumAm&gt;</w:t>
      </w:r>
    </w:p>
    <w:p w14:paraId="6874AC13" w14:textId="5782852E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</w:t>
      </w:r>
      <w:r>
        <w:rPr>
          <w:rStyle w:val="HideTWBExt"/>
          <w:b w:val="0"/>
        </w:rPr>
        <w:t>&lt;/Members&gt;</w:t>
      </w:r>
    </w:p>
    <w:p w14:paraId="5EFA357C" w14:textId="1231482A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 xml:space="preserve">za skupinu The </w:t>
      </w:r>
      <w:r>
        <w:t>Left</w:t>
      </w:r>
      <w:r>
        <w:rPr>
          <w:rStyle w:val="HideTWBExt"/>
        </w:rPr>
        <w:t>&lt;/AuNomDe&gt;</w:t>
      </w:r>
    </w:p>
    <w:p w14:paraId="3FE2B50E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7748C036" w14:textId="19A73D0A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3D02C790" w14:textId="6B5F54AA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2EAEA12D" w14:textId="7475C616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7C6A0839" w14:textId="2A099102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0ACA5A7C" w14:textId="327180BB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 xml:space="preserve">Bod 22 a </w:t>
      </w:r>
      <w:r>
        <w:t>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7B39AB" w:rsidRDefault="004C35EC" w:rsidP="009F6FC0">
            <w:pPr>
              <w:keepNext/>
            </w:pPr>
          </w:p>
        </w:tc>
      </w:tr>
      <w:tr w:rsidR="00D46749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22DB1653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1FF1EBD5" w14:textId="71421A85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7B39AB" w:rsidRDefault="0059510A" w:rsidP="009F6FC0">
            <w:pPr>
              <w:pStyle w:val="Normal6a"/>
            </w:pPr>
            <w:r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7B39AB" w:rsidRDefault="0059510A" w:rsidP="0042635B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22a.</w:t>
            </w:r>
            <w:r>
              <w:rPr>
                <w:b/>
                <w:i/>
              </w:rPr>
              <w:tab/>
              <w:t xml:space="preserve">naléhavě vyzývá členské státy, aby pracovaly na nové dlouhodobé architektuře kolektivní bezpečnosti pro Evropu inspirované zásadami helsinského procesu a zahrnující koncept vzájemných </w:t>
            </w:r>
            <w:r>
              <w:rPr>
                <w:b/>
                <w:i/>
              </w:rPr>
              <w:t>bezpečnostních záruk; konstatuje, že základním aspektem takového přístupu je respektování svrchovanosti a územní celistvosti všech národů a závazek dodržovat mezinárodní právo;</w:t>
            </w:r>
          </w:p>
        </w:tc>
      </w:tr>
      <w:tr w:rsidR="00D46749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7B39AB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7B39AB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76900BF3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0F27557A" w14:textId="01D29E97" w:rsidR="004C35EC" w:rsidRPr="007B39AB" w:rsidRDefault="0059510A" w:rsidP="004C35EC">
      <w:pPr>
        <w:pStyle w:val="AmDateTabRC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7306E7E2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6AFABCA4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3023BD04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66170969" w14:textId="378E0E74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</w:t>
      </w:r>
      <w:r>
        <w:rPr>
          <w:rStyle w:val="HideTWBExt"/>
        </w:rPr>
        <w:t>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 w14:paraId="1CD0DB83" w14:textId="6F16B3B0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&lt;/NumAm&gt;</w:t>
      </w:r>
    </w:p>
    <w:p w14:paraId="1381E651" w14:textId="653D212B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Marc Botenga, João Oliveira</w:t>
      </w:r>
      <w:r>
        <w:rPr>
          <w:rStyle w:val="HideTWBExt"/>
          <w:b w:val="0"/>
        </w:rPr>
        <w:t>&lt;/Members&gt;</w:t>
      </w:r>
    </w:p>
    <w:p w14:paraId="796D6DF7" w14:textId="552449A8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762093F0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5AD85E17" w14:textId="385E70C5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</w:t>
      </w:r>
      <w:r>
        <w:t>sení</w:t>
      </w:r>
      <w:r>
        <w:rPr>
          <w:rStyle w:val="HideTWBExt"/>
          <w:b w:val="0"/>
        </w:rPr>
        <w:t>&lt;/TitreType&gt;</w:t>
      </w:r>
    </w:p>
    <w:p w14:paraId="399E7498" w14:textId="3C49F505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0EEBB5B3" w14:textId="0C50E086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03A65CA3" w14:textId="4CF84B65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203C8D11" w14:textId="7FA9C366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22 b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7B39AB" w:rsidRDefault="004C35EC" w:rsidP="009F6FC0">
            <w:pPr>
              <w:keepNext/>
            </w:pPr>
          </w:p>
        </w:tc>
      </w:tr>
      <w:tr w:rsidR="00D46749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4F5EBE12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7622971E" w14:textId="3283379C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7B39AB" w:rsidRDefault="0059510A" w:rsidP="009F6FC0">
            <w:pPr>
              <w:pStyle w:val="Normal6a"/>
            </w:pPr>
            <w:r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7B39AB" w:rsidRDefault="0059510A" w:rsidP="00CD6B1C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22b.</w:t>
            </w:r>
            <w:r>
              <w:rPr>
                <w:b/>
                <w:i/>
              </w:rPr>
              <w:tab/>
              <w:t>trvá na tom, že nová evropská bezpečnostní architektura musí uplatňovat zásady mírového soužití mezi zeměmi s odlišnými politickými systémy a poskytovat bezpečnostní záruky všem stranám;</w:t>
            </w:r>
          </w:p>
        </w:tc>
      </w:tr>
    </w:tbl>
    <w:p w14:paraId="544A2020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3ABF5367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58EF5FD9" w14:textId="081AC367" w:rsidR="004C35EC" w:rsidRPr="007B39AB" w:rsidRDefault="0059510A" w:rsidP="004C35EC">
      <w:pPr>
        <w:pStyle w:val="AmDateTabRC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723CE1F8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24B5D4A4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6EAB60A1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3FA70483" w14:textId="42701AB9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</w:t>
      </w:r>
      <w:r>
        <w:rPr>
          <w:rStyle w:val="HideTWBExt"/>
        </w:rPr>
        <w:t>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 w14:paraId="0564F188" w14:textId="3D33182F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&lt;/NumAm&gt;</w:t>
      </w:r>
    </w:p>
    <w:p w14:paraId="0C929D04" w14:textId="7C8F67D0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Manon Aubry, Marina Mesure, Marc Botenga</w:t>
      </w:r>
      <w:r>
        <w:rPr>
          <w:rStyle w:val="HideTWBExt"/>
          <w:b w:val="0"/>
        </w:rPr>
        <w:t>&lt;/Members&gt;</w:t>
      </w:r>
    </w:p>
    <w:p w14:paraId="6F9E552D" w14:textId="0FEFD306" w:rsidR="004C35EC" w:rsidRPr="007B39AB" w:rsidRDefault="0059510A" w:rsidP="004C35EC">
      <w:pPr>
        <w:rPr>
          <w:rStyle w:val="HideTWBExt"/>
        </w:rPr>
      </w:pPr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 The Left</w:t>
      </w:r>
      <w:r>
        <w:rPr>
          <w:rStyle w:val="HideTWBExt"/>
        </w:rPr>
        <w:t>&lt;/AuNomDe&gt;</w:t>
      </w:r>
    </w:p>
    <w:p w14:paraId="28369E6E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526897D5" w14:textId="423E3B6A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1195B739" w14:textId="40FFCA32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37A2CE50" w14:textId="348C8559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7BD1AD46" w14:textId="300667AE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35F14AF2" w14:textId="69102001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>Bod 33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7B39AB" w:rsidRDefault="004C35EC" w:rsidP="009F6FC0">
            <w:pPr>
              <w:keepNext/>
            </w:pPr>
          </w:p>
        </w:tc>
      </w:tr>
      <w:tr w:rsidR="00D46749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03FA845C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12C049AC" w14:textId="2577F5A3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7B39AB" w:rsidRDefault="0059510A" w:rsidP="004B4D8C">
            <w:pPr>
              <w:pStyle w:val="Normal6a"/>
              <w:rPr>
                <w:b/>
                <w:i/>
              </w:rPr>
            </w:pPr>
            <w:r>
              <w:t>33.</w:t>
            </w:r>
            <w:r>
              <w:rPr>
                <w:b/>
                <w:i/>
              </w:rPr>
              <w:tab/>
            </w:r>
            <w:r>
              <w:rPr>
                <w:rStyle w:val="Aucun"/>
              </w:rPr>
              <w:t>je pevně přesvědčen o tom, že v současném geopolitickém kontextu je nanejvýš důležité uplatňovat čl. 42 odst. 7 Smlouvy o Evropské unii (SEU) o vzájemné pomoci a zajistit solidaritu mezi členskými státy, zejména těmi, které jsou kvůl</w:t>
            </w:r>
            <w:r>
              <w:rPr>
                <w:rStyle w:val="Aucun"/>
              </w:rPr>
              <w:t>i své zeměpisné poloze přímo vystaveny bezprostředním hrozbám a výzvám, a to bez ohledu na to, zda jsou členy NATO, či nikoli;</w:t>
            </w:r>
          </w:p>
        </w:tc>
        <w:tc>
          <w:tcPr>
            <w:tcW w:w="4876" w:type="dxa"/>
          </w:tcPr>
          <w:p w14:paraId="67A560F7" w14:textId="0ECF8E1B" w:rsidR="00CD6B1C" w:rsidRPr="007B39AB" w:rsidRDefault="0059510A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>
              <w:rPr>
                <w:shd w:val="clear" w:color="auto" w:fill="FFFFFF"/>
              </w:rPr>
              <w:t>33.</w:t>
            </w:r>
            <w:r>
              <w:rPr>
                <w:b/>
                <w:i/>
                <w:shd w:val="clear" w:color="auto" w:fill="FFFFFF"/>
              </w:rPr>
              <w:tab/>
            </w:r>
            <w:r>
              <w:rPr>
                <w:rStyle w:val="Aucun"/>
              </w:rPr>
              <w:t>je pevně přesvědčen o tom, že v současném geopolitickém kontextu lze evropské strategické autonomie dosáhnout pouze tehdy, bu</w:t>
            </w:r>
            <w:r>
              <w:rPr>
                <w:rStyle w:val="Aucun"/>
              </w:rPr>
              <w:t>de-li čl. 42 odst. 7 Smlouvy o Evropské unii (SEU) o vzájemné pomoci vnímám jako ustanovení nejvyššího významu, zajišťující solidaritu mezi členskými státy, a pokud se stane základem kolektivní obrany všech členských států místo toho, aby se spoléhaly na N</w:t>
            </w:r>
            <w:r>
              <w:rPr>
                <w:rStyle w:val="Aucun"/>
              </w:rPr>
              <w:t>ATO;</w:t>
            </w:r>
          </w:p>
          <w:p w14:paraId="444BF71F" w14:textId="00C3B080" w:rsidR="004C35EC" w:rsidRPr="007B39AB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Pr="007B39AB">
        <w:rPr>
          <w:rStyle w:val="HideTWBInt"/>
        </w:rPr>
        <w:t>{EN}</w:t>
      </w:r>
      <w:proofErr w:type="gramStart"/>
      <w:r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0EFE3929" w14:textId="77777777" w:rsidR="004C35EC" w:rsidRPr="007B39AB" w:rsidRDefault="0059510A" w:rsidP="004C35EC">
      <w:r>
        <w:br w:type="page"/>
      </w:r>
      <w:r>
        <w:rPr>
          <w:rStyle w:val="HideTWBExt"/>
        </w:rPr>
        <w:t>&lt;/Amend&gt;</w:t>
      </w:r>
    </w:p>
    <w:p w14:paraId="49E38E92" w14:textId="05C6F0E9" w:rsidR="004C35EC" w:rsidRPr="007B39AB" w:rsidRDefault="0059510A" w:rsidP="004C35EC">
      <w:pPr>
        <w:pStyle w:val="AmDateTabRC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{10/03/2025}</w:t>
      </w:r>
      <w:proofErr w:type="gramStart"/>
      <w:r>
        <w:t>10.3.2025</w:t>
      </w:r>
      <w:proofErr w:type="gramEnd"/>
      <w:r>
        <w:rPr>
          <w:rStyle w:val="HideTWBExt"/>
        </w:rPr>
        <w:t>&lt;/Date&gt;&lt;RepeatBlock-BNos&gt;&lt;BNos&gt;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0146/2025</w:t>
      </w:r>
      <w:r>
        <w:rPr>
          <w:rStyle w:val="HideTWBExt"/>
        </w:rPr>
        <w:t>&lt;/NoDocSe&gt;</w:t>
      </w:r>
      <w:r>
        <w:t xml:space="preserve"> } </w:t>
      </w:r>
    </w:p>
    <w:p w14:paraId="39E1451D" w14:textId="77777777" w:rsidR="004C35EC" w:rsidRPr="007B39AB" w:rsidRDefault="0059510A" w:rsidP="004E280B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0147/2025</w:t>
      </w:r>
      <w:r>
        <w:rPr>
          <w:rStyle w:val="HideTWBExt"/>
        </w:rPr>
        <w:t>&lt;/NoDocSe&gt;</w:t>
      </w:r>
      <w:r>
        <w:t xml:space="preserve"> } </w:t>
      </w:r>
    </w:p>
    <w:p w14:paraId="12254DB8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0148/2025</w:t>
      </w:r>
      <w:r>
        <w:rPr>
          <w:rStyle w:val="HideTWBExt"/>
        </w:rPr>
        <w:t>&lt;/NoDocSe&gt;</w:t>
      </w:r>
      <w:r>
        <w:t xml:space="preserve"> } </w:t>
      </w:r>
    </w:p>
    <w:p w14:paraId="3C2339B3" w14:textId="77777777" w:rsidR="004C35EC" w:rsidRPr="007B39AB" w:rsidRDefault="0059510A" w:rsidP="004C35EC">
      <w:pPr>
        <w:pStyle w:val="AmDateTabRC"/>
      </w:pPr>
      <w:r>
        <w:rPr>
          <w:rStyle w:val="HideTWBExt"/>
        </w:rPr>
        <w:t>&lt;/BNos&gt;&lt;BNos&gt;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0149/2025</w:t>
      </w:r>
      <w:r>
        <w:rPr>
          <w:rStyle w:val="HideTWBExt"/>
        </w:rPr>
        <w:t>&lt;/NoDocSe&gt;</w:t>
      </w:r>
      <w:r>
        <w:t xml:space="preserve"> } </w:t>
      </w:r>
    </w:p>
    <w:p w14:paraId="2E696829" w14:textId="2DD2CE2E" w:rsidR="004C35EC" w:rsidRPr="007B39AB" w:rsidRDefault="0059510A" w:rsidP="004C35EC">
      <w:pPr>
        <w:pStyle w:val="AmDateTabRC"/>
      </w:pPr>
      <w:r>
        <w:rPr>
          <w:rStyle w:val="HideTWBExt"/>
        </w:rPr>
        <w:t>&lt;/BNos&gt;&lt;/RepeatBlock-BNos&gt;</w:t>
      </w:r>
      <w:r>
        <w:tab/>
      </w:r>
      <w:r>
        <w:rPr>
          <w:rStyle w:val="HideTWBExt"/>
        </w:rPr>
        <w:t>&lt;NoDocSe&gt;</w:t>
      </w:r>
      <w:r>
        <w:t>B10</w:t>
      </w:r>
      <w:r>
        <w:noBreakHyphen/>
        <w:t>0150/2025</w:t>
      </w:r>
      <w:r>
        <w:rPr>
          <w:rStyle w:val="HideTWBExt"/>
        </w:rPr>
        <w:t>&lt;/NoDocSe&gt;</w:t>
      </w:r>
      <w:r>
        <w:t xml:space="preserve"> } RC1/Am. </w:t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 w14:paraId="1CCDC876" w14:textId="18113F39" w:rsidR="004C35EC" w:rsidRPr="007B39AB" w:rsidRDefault="0059510A" w:rsidP="004C35EC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&lt;/NumAm&gt;</w:t>
      </w:r>
    </w:p>
    <w:p w14:paraId="1D9008FF" w14:textId="5C00C885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Giorgos Georgiou</w:t>
      </w:r>
      <w:r>
        <w:rPr>
          <w:rStyle w:val="HideTWBExt"/>
          <w:b w:val="0"/>
        </w:rPr>
        <w:t>&lt;/Members&gt;</w:t>
      </w:r>
    </w:p>
    <w:p w14:paraId="39B5E5F8" w14:textId="3ADEDBD1" w:rsidR="004C35EC" w:rsidRPr="007B39AB" w:rsidRDefault="0059510A" w:rsidP="004C35EC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za skupinu</w:t>
      </w:r>
      <w:r>
        <w:t xml:space="preserve"> The Left</w:t>
      </w:r>
      <w:r>
        <w:rPr>
          <w:rStyle w:val="HideTWBExt"/>
        </w:rPr>
        <w:t>&lt;/AuNomDe&gt;</w:t>
      </w:r>
    </w:p>
    <w:p w14:paraId="124431F0" w14:textId="77777777" w:rsidR="004C35EC" w:rsidRPr="007B39AB" w:rsidRDefault="0059510A" w:rsidP="004C35EC">
      <w:r>
        <w:rPr>
          <w:rStyle w:val="HideTWBExt"/>
        </w:rPr>
        <w:t>&lt;/RepeatBlock-By&gt;</w:t>
      </w:r>
    </w:p>
    <w:p w14:paraId="5D3C8BAB" w14:textId="726758B1" w:rsidR="004C35EC" w:rsidRPr="007B39AB" w:rsidRDefault="0059510A" w:rsidP="004C35EC">
      <w:pPr>
        <w:pStyle w:val="AmDocTypeTab"/>
        <w:rPr>
          <w:noProof/>
        </w:rPr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76C703E6" w14:textId="67E1C737" w:rsidR="004C35EC" w:rsidRPr="007B39AB" w:rsidRDefault="0059510A" w:rsidP="004C35EC">
      <w:pPr>
        <w:pStyle w:val="NormalBold"/>
        <w:rPr>
          <w:noProof/>
        </w:rPr>
      </w:pPr>
      <w:r>
        <w:rPr>
          <w:rStyle w:val="HideTWBExt"/>
          <w:b w:val="0"/>
        </w:rPr>
        <w:t>&lt;Rapporteur&gt;</w:t>
      </w:r>
      <w:r>
        <w:t>PPE, S&amp;D, ECR, Renew, The Left</w:t>
      </w:r>
      <w:r>
        <w:rPr>
          <w:rStyle w:val="HideTWBExt"/>
          <w:b w:val="0"/>
        </w:rPr>
        <w:t>&lt;/Rapporteur&gt;</w:t>
      </w:r>
    </w:p>
    <w:p w14:paraId="4BED7428" w14:textId="39E6939E" w:rsidR="004C35EC" w:rsidRPr="007B39AB" w:rsidRDefault="0059510A" w:rsidP="004C35EC">
      <w:pPr>
        <w:pStyle w:val="Normal12a"/>
      </w:pPr>
      <w:r>
        <w:rPr>
          <w:rStyle w:val="HideTWBExt"/>
        </w:rPr>
        <w:t>&lt;Titre&gt;</w:t>
      </w:r>
      <w:r>
        <w:t>Bílá kniha o budoucnosti evropské obrany</w:t>
      </w:r>
      <w:r>
        <w:rPr>
          <w:rStyle w:val="HideTWBExt"/>
        </w:rPr>
        <w:t>&lt;/Titre&gt;</w:t>
      </w:r>
    </w:p>
    <w:p w14:paraId="6F8E080E" w14:textId="1E874083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&lt;DocAmend&gt;</w:t>
      </w:r>
      <w:r>
        <w:t>Společný návrh usnesení</w:t>
      </w:r>
      <w:r>
        <w:rPr>
          <w:rStyle w:val="HideTWBExt"/>
          <w:b w:val="0"/>
        </w:rPr>
        <w:t>&lt;/DocAmend&gt;</w:t>
      </w:r>
    </w:p>
    <w:p w14:paraId="36D80602" w14:textId="2564987E" w:rsidR="004C35EC" w:rsidRPr="007B39AB" w:rsidRDefault="0059510A" w:rsidP="004C35EC">
      <w:pPr>
        <w:pStyle w:val="NormalBold"/>
      </w:pPr>
      <w:r>
        <w:rPr>
          <w:rStyle w:val="HideTWBExt"/>
          <w:b w:val="0"/>
        </w:rPr>
        <w:t>&lt;Article&gt;</w:t>
      </w:r>
      <w:r>
        <w:t xml:space="preserve">Bod </w:t>
      </w:r>
      <w:r>
        <w:t>32 a (nový)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46749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7B39AB" w:rsidRDefault="004C35EC" w:rsidP="009F6FC0">
            <w:pPr>
              <w:keepNext/>
            </w:pPr>
          </w:p>
        </w:tc>
      </w:tr>
      <w:tr w:rsidR="00D46749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54DAB5FB" w:rsidR="004C35EC" w:rsidRPr="007B39AB" w:rsidRDefault="0059510A" w:rsidP="009F6FC0">
            <w:pPr>
              <w:pStyle w:val="AmColumnHeading"/>
              <w:keepNext/>
            </w:pPr>
            <w:r>
              <w:t>Společný návrh usnesení</w:t>
            </w:r>
          </w:p>
        </w:tc>
        <w:tc>
          <w:tcPr>
            <w:tcW w:w="4876" w:type="dxa"/>
          </w:tcPr>
          <w:p w14:paraId="359FC2C4" w14:textId="32D1A905" w:rsidR="004C35EC" w:rsidRPr="007B39AB" w:rsidRDefault="0059510A" w:rsidP="009F6FC0">
            <w:pPr>
              <w:pStyle w:val="AmColumnHeading"/>
              <w:keepNext/>
            </w:pPr>
            <w:r>
              <w:t>Pozměňovací návrh</w:t>
            </w:r>
          </w:p>
        </w:tc>
      </w:tr>
      <w:tr w:rsidR="00D46749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7B39AB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7B39AB" w:rsidRDefault="0059510A" w:rsidP="00A33950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  <w:shd w:val="clear" w:color="auto" w:fill="FFFFFF"/>
              </w:rPr>
              <w:t>32a.</w:t>
            </w:r>
            <w:r>
              <w:rPr>
                <w:b/>
                <w:i/>
                <w:shd w:val="clear" w:color="auto" w:fill="FFFFFF"/>
              </w:rPr>
              <w:tab/>
              <w:t xml:space="preserve">znovu vyzývá Turecko, člena NATO, aby stáhlo své vojáky z Kypru, členského státu EU, a konstruktivně usilovalo o nalezení životaschopného a mírového řešení na základě příslušných </w:t>
            </w:r>
            <w:r>
              <w:rPr>
                <w:b/>
                <w:i/>
                <w:shd w:val="clear" w:color="auto" w:fill="FFFFFF"/>
              </w:rPr>
              <w:t>rezolucí OSN;</w:t>
            </w:r>
          </w:p>
        </w:tc>
      </w:tr>
    </w:tbl>
    <w:p w14:paraId="39DA035B" w14:textId="77777777" w:rsidR="004C35EC" w:rsidRPr="007B39AB" w:rsidRDefault="0059510A" w:rsidP="004C35EC">
      <w:pPr>
        <w:pStyle w:val="AmOrLang"/>
      </w:pPr>
      <w:r w:rsidRPr="007B39AB">
        <w:t xml:space="preserve">Or. </w:t>
      </w:r>
      <w:r w:rsidRPr="007B39AB">
        <w:rPr>
          <w:rStyle w:val="HideTWBExt"/>
          <w:rFonts w:eastAsiaTheme="majorEastAsia"/>
        </w:rPr>
        <w:t>&lt;Original&gt;</w:t>
      </w:r>
      <w:r w:rsidR="00C02B73" w:rsidRPr="007B39AB">
        <w:rPr>
          <w:rStyle w:val="HideTWBInt"/>
        </w:rPr>
        <w:t>{EN}</w:t>
      </w:r>
      <w:proofErr w:type="gramStart"/>
      <w:r w:rsidR="00C02B73" w:rsidRPr="007B39AB">
        <w:t>en</w:t>
      </w:r>
      <w:proofErr w:type="gramEnd"/>
      <w:r w:rsidRPr="007B39AB">
        <w:rPr>
          <w:rStyle w:val="HideTWBExt"/>
          <w:rFonts w:eastAsiaTheme="majorEastAsia"/>
        </w:rPr>
        <w:t>&lt;/Original&gt;</w:t>
      </w:r>
    </w:p>
    <w:p w14:paraId="7BBF9086" w14:textId="77777777" w:rsidR="004C35EC" w:rsidRPr="007B39AB" w:rsidRDefault="0059510A" w:rsidP="004C35EC">
      <w:r>
        <w:rPr>
          <w:rStyle w:val="HideTWBExt"/>
        </w:rPr>
        <w:t>&lt;/Amend&gt;</w:t>
      </w:r>
    </w:p>
    <w:p w14:paraId="7F18560B" w14:textId="77777777" w:rsidR="005C6490" w:rsidRPr="007B39AB" w:rsidRDefault="0059510A" w:rsidP="005C6490">
      <w:pPr>
        <w:tabs>
          <w:tab w:val="left" w:pos="-720"/>
        </w:tabs>
      </w:pPr>
      <w:r>
        <w:rPr>
          <w:rStyle w:val="HideTWBExt"/>
        </w:rPr>
        <w:t>&lt;/RepeatBlock-Amend&gt;</w:t>
      </w:r>
    </w:p>
    <w:sectPr w:rsidR="005C6490" w:rsidRPr="007B39AB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9B409" w14:textId="77777777" w:rsidR="00000000" w:rsidRDefault="0059510A">
      <w:r>
        <w:separator/>
      </w:r>
    </w:p>
  </w:endnote>
  <w:endnote w:type="continuationSeparator" w:id="0">
    <w:p w14:paraId="4910D363" w14:textId="77777777" w:rsidR="00000000" w:rsidRDefault="0059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E2F96" w14:textId="77777777" w:rsidR="001E46B3" w:rsidRDefault="001E46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2BC2A" w14:textId="77777777" w:rsidR="00E5207E" w:rsidRPr="007B39AB" w:rsidRDefault="0059510A" w:rsidP="00E5207E">
    <w:pPr>
      <w:pStyle w:val="EPFooterRC"/>
    </w:pPr>
    <w:r w:rsidRPr="007B39AB">
      <w:rPr>
        <w:rStyle w:val="HideTWBExt"/>
      </w:rPr>
      <w:t>&lt;PathFdR&gt;</w:t>
    </w:r>
    <w:r w:rsidRPr="007B39AB">
      <w:t>AM\1316909CS.docx</w:t>
    </w:r>
    <w:r w:rsidRPr="007B39AB">
      <w:rPr>
        <w:rStyle w:val="HideTWBExt"/>
      </w:rPr>
      <w:t>&lt;/PathFdR&gt;</w:t>
    </w:r>
    <w:r w:rsidRPr="007B39AB">
      <w:tab/>
    </w:r>
    <w:r w:rsidRPr="007B39AB">
      <w:tab/>
      <w:t>PE</w:t>
    </w:r>
    <w:r w:rsidRPr="007B39AB">
      <w:rPr>
        <w:rStyle w:val="HideTWBExt"/>
      </w:rPr>
      <w:t>&lt;NoPE&gt;</w:t>
    </w:r>
    <w:r w:rsidRPr="007B39AB">
      <w:t>769.727</w:t>
    </w:r>
    <w:r w:rsidRPr="007B39AB">
      <w:rPr>
        <w:rStyle w:val="HideTWBExt"/>
      </w:rPr>
      <w:t>&lt;/NoPE&gt;&lt;Version&gt;</w:t>
    </w:r>
    <w:r w:rsidRPr="007B39AB">
      <w:t>v01-00</w:t>
    </w:r>
    <w:r w:rsidRPr="007B39AB">
      <w:rPr>
        <w:rStyle w:val="HideTWBExt"/>
      </w:rPr>
      <w:t>&lt;/Version&gt;</w:t>
    </w:r>
    <w:r w:rsidRPr="007B39AB">
      <w:t xml:space="preserve"> }</w:t>
    </w:r>
  </w:p>
  <w:p w14:paraId="5E90BAB9" w14:textId="77777777" w:rsidR="00E5207E" w:rsidRPr="007B39AB" w:rsidRDefault="0059510A" w:rsidP="00E5207E">
    <w:pPr>
      <w:pStyle w:val="EPFooterRC"/>
    </w:pPr>
    <w:r w:rsidRPr="007B39AB">
      <w:tab/>
    </w:r>
    <w:r w:rsidRPr="007B39AB">
      <w:tab/>
      <w:t>PE</w:t>
    </w:r>
    <w:r w:rsidRPr="007B39AB">
      <w:rPr>
        <w:rStyle w:val="HideTWBExt"/>
      </w:rPr>
      <w:t>&lt;NoPE&gt;</w:t>
    </w:r>
    <w:r w:rsidRPr="007B39AB">
      <w:t>769.728</w:t>
    </w:r>
    <w:r w:rsidRPr="007B39AB">
      <w:rPr>
        <w:rStyle w:val="HideTWBExt"/>
      </w:rPr>
      <w:t>&lt;/NoPE&gt;&lt;Version&gt;</w:t>
    </w:r>
    <w:r w:rsidRPr="007B39AB">
      <w:t>v01-00</w:t>
    </w:r>
    <w:r w:rsidRPr="007B39AB">
      <w:rPr>
        <w:rStyle w:val="HideTWBExt"/>
      </w:rPr>
      <w:t>&lt;/Version&gt;</w:t>
    </w:r>
    <w:r w:rsidRPr="007B39AB">
      <w:t xml:space="preserve"> }</w:t>
    </w:r>
  </w:p>
  <w:p w14:paraId="5DE28B69" w14:textId="77777777" w:rsidR="00E5207E" w:rsidRPr="007B39AB" w:rsidRDefault="0059510A" w:rsidP="00E5207E">
    <w:pPr>
      <w:pStyle w:val="EPFooterRC"/>
    </w:pPr>
    <w:r w:rsidRPr="007B39AB">
      <w:tab/>
    </w:r>
    <w:r w:rsidRPr="007B39AB">
      <w:tab/>
      <w:t>PE</w:t>
    </w:r>
    <w:r w:rsidRPr="007B39AB">
      <w:rPr>
        <w:rStyle w:val="HideTWBExt"/>
      </w:rPr>
      <w:t>&lt;NoPE&gt;</w:t>
    </w:r>
    <w:r w:rsidRPr="007B39AB">
      <w:t>769.729</w:t>
    </w:r>
    <w:r w:rsidRPr="007B39AB">
      <w:rPr>
        <w:rStyle w:val="HideTWBExt"/>
      </w:rPr>
      <w:t>&lt;/NoPE&gt;&lt;Version&gt;</w:t>
    </w:r>
    <w:r w:rsidRPr="007B39AB">
      <w:t>v01-00</w:t>
    </w:r>
    <w:r w:rsidRPr="007B39AB">
      <w:rPr>
        <w:rStyle w:val="HideTWBExt"/>
      </w:rPr>
      <w:t>&lt;/Version&gt;</w:t>
    </w:r>
    <w:r w:rsidRPr="007B39AB">
      <w:t xml:space="preserve"> }</w:t>
    </w:r>
  </w:p>
  <w:p w14:paraId="5F19DA40" w14:textId="77777777" w:rsidR="00E5207E" w:rsidRPr="007B39AB" w:rsidRDefault="0059510A" w:rsidP="00E5207E">
    <w:pPr>
      <w:pStyle w:val="EPFooterRC"/>
    </w:pPr>
    <w:r w:rsidRPr="007B39AB">
      <w:tab/>
    </w:r>
    <w:r w:rsidRPr="007B39AB">
      <w:tab/>
      <w:t>PE</w:t>
    </w:r>
    <w:r w:rsidRPr="007B39AB">
      <w:rPr>
        <w:rStyle w:val="HideTWBExt"/>
      </w:rPr>
      <w:t>&lt;NoPE&gt;</w:t>
    </w:r>
    <w:r w:rsidRPr="007B39AB">
      <w:t>769.730</w:t>
    </w:r>
    <w:r w:rsidRPr="007B39AB">
      <w:rPr>
        <w:rStyle w:val="HideTWBExt"/>
      </w:rPr>
      <w:t>&lt;/NoPE&gt;&lt;Version&gt;</w:t>
    </w:r>
    <w:r w:rsidRPr="007B39AB">
      <w:t>v01-00</w:t>
    </w:r>
    <w:r w:rsidRPr="007B39AB">
      <w:rPr>
        <w:rStyle w:val="HideTWBExt"/>
      </w:rPr>
      <w:t>&lt;/Version&gt;</w:t>
    </w:r>
    <w:r w:rsidRPr="007B39AB">
      <w:t xml:space="preserve"> }</w:t>
    </w:r>
  </w:p>
  <w:p w14:paraId="121D5B0E" w14:textId="77777777" w:rsidR="00E5207E" w:rsidRPr="007B39AB" w:rsidRDefault="0059510A" w:rsidP="00E5207E">
    <w:pPr>
      <w:pStyle w:val="EPFooterRC"/>
    </w:pPr>
    <w:r w:rsidRPr="007B39AB">
      <w:tab/>
    </w:r>
    <w:r w:rsidRPr="007B39AB">
      <w:tab/>
      <w:t>PE</w:t>
    </w:r>
    <w:r w:rsidRPr="007B39AB">
      <w:rPr>
        <w:rStyle w:val="HideTWBExt"/>
      </w:rPr>
      <w:t>&lt;NoPE&gt;</w:t>
    </w:r>
    <w:r w:rsidRPr="007B39AB">
      <w:t>769.731</w:t>
    </w:r>
    <w:r w:rsidRPr="007B39AB">
      <w:rPr>
        <w:rStyle w:val="HideTWBExt"/>
      </w:rPr>
      <w:t>&lt;/NoPE&gt;&lt;Version&gt;</w:t>
    </w:r>
    <w:r w:rsidRPr="007B39AB">
      <w:t>v01-00</w:t>
    </w:r>
    <w:r w:rsidRPr="007B39AB">
      <w:rPr>
        <w:rStyle w:val="HideTWBExt"/>
      </w:rPr>
      <w:t>&lt;/Version&gt;</w:t>
    </w:r>
    <w:r w:rsidRPr="007B39AB">
      <w:t xml:space="preserve"> } RC1</w:t>
    </w:r>
  </w:p>
  <w:p w14:paraId="071E724A" w14:textId="63F2CFFE" w:rsidR="005C6490" w:rsidRPr="007B39AB" w:rsidRDefault="0059510A" w:rsidP="00E5207E">
    <w:pPr>
      <w:pStyle w:val="EPFooter2"/>
    </w:pPr>
    <w:r w:rsidRPr="007B39AB">
      <w:t>CS</w:t>
    </w:r>
    <w:r w:rsidRPr="007B39AB">
      <w:tab/>
    </w:r>
    <w:r w:rsidRPr="007B39AB">
      <w:rPr>
        <w:b w:val="0"/>
        <w:i/>
        <w:color w:val="C0C0C0"/>
        <w:sz w:val="22"/>
      </w:rPr>
      <w:t>Jednotná v rozmanitosti</w:t>
    </w:r>
    <w:r w:rsidRPr="007B39A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EB36D" w14:textId="77777777" w:rsidR="001E46B3" w:rsidRDefault="001E4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61043" w14:textId="77777777" w:rsidR="00000000" w:rsidRDefault="0059510A">
      <w:r>
        <w:separator/>
      </w:r>
    </w:p>
  </w:footnote>
  <w:footnote w:type="continuationSeparator" w:id="0">
    <w:p w14:paraId="0BDB66B7" w14:textId="77777777" w:rsidR="00000000" w:rsidRDefault="00595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7608F" w14:textId="77777777" w:rsidR="001E46B3" w:rsidRDefault="001E46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0BD9B" w14:textId="77777777" w:rsidR="001E46B3" w:rsidRDefault="001E46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F187A" w14:textId="77777777" w:rsidR="001E46B3" w:rsidRDefault="001E46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CS"/>
    <w:docVar w:name="TXTLANGUEMIN" w:val="cs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CS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E46B3"/>
    <w:rsid w:val="001F4805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9510A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B39AB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46749"/>
    <w:rsid w:val="00DD442B"/>
    <w:rsid w:val="00E2598E"/>
    <w:rsid w:val="00E25A55"/>
    <w:rsid w:val="00E5207E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1548</Words>
  <Characters>9098</Characters>
  <Application>Microsoft Office Word</Application>
  <DocSecurity>0</DocSecurity>
  <Lines>392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VYROUBALOVA Jana</cp:lastModifiedBy>
  <cp:revision>2</cp:revision>
  <cp:lastPrinted>2025-03-11T10:05:00Z</cp:lastPrinted>
  <dcterms:created xsi:type="dcterms:W3CDTF">2025-03-11T19:57:00Z</dcterms:created>
  <dcterms:modified xsi:type="dcterms:W3CDTF">2025-03-11T19:57:00Z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20:57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AM\1316909CS.docx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