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631199" w:rsidRDefault="00507EC7" w:rsidP="00B41B8B">
      <w:pPr>
        <w:pStyle w:val="AmDateTabRC"/>
      </w:pPr>
      <w:bookmarkStart w:id="0" w:name="_GoBack"/>
      <w:bookmarkEnd w:id="0"/>
      <w:r w:rsidRPr="00631199">
        <w:rPr>
          <w:rStyle w:val="HideTWBExt"/>
        </w:rPr>
        <w:t>&lt;RepeatBlock-Amend&gt;</w:t>
      </w:r>
      <w:bookmarkStart w:id="1" w:name="restart"/>
      <w:r w:rsidRPr="00631199">
        <w:rPr>
          <w:rStyle w:val="HideTWBExt"/>
        </w:rPr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5B949FBF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FC15816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75D429E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</w:r>
      <w:r w:rsidRPr="00631199"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FD1A6B3" w14:textId="4446001B" w:rsidR="006B7EE0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50</w:t>
      </w:r>
      <w:r w:rsidRPr="00631199">
        <w:rPr>
          <w:rStyle w:val="HideTWBExt"/>
        </w:rPr>
        <w:t>&lt;/NumAm&gt;</w:t>
      </w:r>
    </w:p>
    <w:p w14:paraId="28F5122C" w14:textId="3DC3A5E1" w:rsidR="00C437B9" w:rsidRPr="00631199" w:rsidRDefault="00507EC7" w:rsidP="00C437B9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50</w:t>
      </w:r>
      <w:r w:rsidRPr="00631199">
        <w:rPr>
          <w:rStyle w:val="HideTWBExt"/>
          <w:b w:val="0"/>
        </w:rPr>
        <w:t>&lt;/NumAm&gt;</w:t>
      </w:r>
    </w:p>
    <w:p w14:paraId="5CC6E040" w14:textId="34DA32F7" w:rsidR="009F6CB7" w:rsidRPr="00631199" w:rsidRDefault="00507EC7" w:rsidP="009F6CB7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Lynn Boylan, Marc Botenga, Luke Ming Flanagan</w:t>
      </w:r>
      <w:r w:rsidRPr="00631199">
        <w:rPr>
          <w:rStyle w:val="HideTWBExt"/>
          <w:b w:val="0"/>
        </w:rPr>
        <w:t>&lt;/Members&gt;</w:t>
      </w:r>
    </w:p>
    <w:p w14:paraId="5495CEEA" w14:textId="78E0FCC5" w:rsidR="009F6CB7" w:rsidRPr="00631199" w:rsidRDefault="00507EC7" w:rsidP="009F6CB7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</w:t>
      </w:r>
      <w:r w:rsidRPr="00631199">
        <w:t xml:space="preserve"> The Left</w:t>
      </w:r>
      <w:r w:rsidRPr="00631199">
        <w:rPr>
          <w:rStyle w:val="HideTWBExt"/>
        </w:rPr>
        <w:t>&lt;/AuNomDe&gt;</w:t>
      </w:r>
    </w:p>
    <w:p w14:paraId="122FD4C8" w14:textId="77777777" w:rsidR="009F6CB7" w:rsidRPr="00631199" w:rsidRDefault="00507EC7" w:rsidP="009F6CB7">
      <w:r w:rsidRPr="00631199">
        <w:rPr>
          <w:rStyle w:val="HideTWBExt"/>
        </w:rPr>
        <w:t>&lt;/RepeatBlock-By&gt;</w:t>
      </w:r>
    </w:p>
    <w:p w14:paraId="5002B41A" w14:textId="77777777" w:rsidR="009F6CB7" w:rsidRPr="00631199" w:rsidRDefault="00507EC7" w:rsidP="009F6CB7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12C4332C" w14:textId="7E31489C" w:rsidR="003A0922" w:rsidRPr="00631199" w:rsidRDefault="00507EC7" w:rsidP="003A0922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0BEBDDC7" w14:textId="2268547D" w:rsidR="009F6CB7" w:rsidRPr="00631199" w:rsidRDefault="00507EC7" w:rsidP="003857B7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72A7D702" w14:textId="77777777" w:rsidR="009F6CB7" w:rsidRPr="00631199" w:rsidRDefault="00507EC7" w:rsidP="009F6CB7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2BF05F04" w14:textId="01E0D95B" w:rsidR="009F6CB7" w:rsidRPr="00631199" w:rsidRDefault="00507EC7" w:rsidP="009F6CB7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5 b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631199" w:rsidRDefault="009F6CB7" w:rsidP="00650345">
            <w:pPr>
              <w:keepNext/>
            </w:pPr>
          </w:p>
        </w:tc>
      </w:tr>
      <w:tr w:rsidR="0091476E" w:rsidRPr="00631199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631199" w:rsidRDefault="00507EC7" w:rsidP="00650345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6965CD17" w14:textId="77777777" w:rsidR="009F6CB7" w:rsidRPr="00631199" w:rsidRDefault="00507EC7" w:rsidP="00650345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631199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631199" w:rsidRDefault="00507EC7" w:rsidP="008949A5">
            <w:pPr>
              <w:pStyle w:val="Normal6a"/>
              <w:rPr>
                <w:szCs w:val="24"/>
              </w:rPr>
            </w:pPr>
            <w:r w:rsidRPr="00631199">
              <w:rPr>
                <w:b/>
                <w:i/>
              </w:rPr>
              <w:t>5b.</w:t>
            </w:r>
            <w:r w:rsidRPr="00631199">
              <w:tab/>
            </w:r>
            <w:r w:rsidRPr="00631199">
              <w:rPr>
                <w:b/>
                <w:i/>
                <w:shd w:val="clear" w:color="auto" w:fill="FFFFFF"/>
              </w:rPr>
              <w:t xml:space="preserve">przypomina, że NATO i UE są odrębnymi organizacjami, które służą bardzo różnym celom i w których członkostwo nie jest nawet identyczne; ubolewa nad zestawianiem </w:t>
            </w:r>
            <w:r w:rsidRPr="00631199">
              <w:rPr>
                <w:b/>
                <w:i/>
                <w:shd w:val="clear" w:color="auto" w:fill="FFFFFF"/>
              </w:rPr>
              <w:t>NATO, sojuszu wojskowego, z UE</w:t>
            </w:r>
            <w:r w:rsidRPr="00631199">
              <w:rPr>
                <w:b/>
                <w:i/>
              </w:rPr>
              <w:t>;</w:t>
            </w:r>
          </w:p>
        </w:tc>
      </w:tr>
    </w:tbl>
    <w:p w14:paraId="1E7C2387" w14:textId="77777777" w:rsidR="009F6CB7" w:rsidRPr="00631199" w:rsidRDefault="00507EC7" w:rsidP="009F6CB7">
      <w:pPr>
        <w:pStyle w:val="AmOrLang"/>
      </w:pPr>
      <w:r w:rsidRPr="00631199">
        <w:t xml:space="preserve">Or. </w:t>
      </w:r>
      <w:r w:rsidRPr="00631199">
        <w:rPr>
          <w:rStyle w:val="HideTWBExt"/>
        </w:rPr>
        <w:t>&lt;Original&gt;</w:t>
      </w:r>
      <w:r w:rsidR="004C35EC" w:rsidRPr="00631199">
        <w:rPr>
          <w:rStyle w:val="HideTWBInt"/>
        </w:rPr>
        <w:t>{EN}</w:t>
      </w:r>
      <w:proofErr w:type="gramStart"/>
      <w:r w:rsidR="004C35EC" w:rsidRPr="00631199">
        <w:t>en</w:t>
      </w:r>
      <w:r w:rsidRPr="00631199">
        <w:rPr>
          <w:rStyle w:val="HideTWBExt"/>
        </w:rPr>
        <w:t>&lt;/Original&gt;</w:t>
      </w:r>
      <w:proofErr w:type="gramEnd"/>
    </w:p>
    <w:p w14:paraId="1B6BBEFF" w14:textId="77777777" w:rsidR="005C6490" w:rsidRPr="00631199" w:rsidRDefault="00507EC7" w:rsidP="005C6490">
      <w:pPr>
        <w:tabs>
          <w:tab w:val="left" w:pos="-720"/>
        </w:tabs>
      </w:pPr>
      <w:r w:rsidRPr="00631199">
        <w:br w:type="page"/>
      </w:r>
      <w:r w:rsidRPr="00631199">
        <w:rPr>
          <w:rStyle w:val="HideTWBExt"/>
        </w:rPr>
        <w:t>&lt;/Amend&gt;</w:t>
      </w:r>
      <w:bookmarkEnd w:id="1"/>
    </w:p>
    <w:p w14:paraId="0F8B0505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34C5620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0290E424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</w:r>
      <w:r w:rsidRPr="00631199"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0B8CFCBE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AC8B954" w14:textId="3E3145A2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51</w:t>
      </w:r>
      <w:r w:rsidRPr="00631199">
        <w:rPr>
          <w:rStyle w:val="HideTWBExt"/>
        </w:rPr>
        <w:t>&lt;/NumAm&gt;</w:t>
      </w:r>
    </w:p>
    <w:p w14:paraId="417A8DBE" w14:textId="2AFE39B9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51</w:t>
      </w:r>
      <w:r w:rsidRPr="00631199">
        <w:rPr>
          <w:rStyle w:val="HideTWBExt"/>
          <w:b w:val="0"/>
        </w:rPr>
        <w:t>&lt;/NumAm&gt;</w:t>
      </w:r>
    </w:p>
    <w:p w14:paraId="159C9276" w14:textId="37518E95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Marc Botenga, João Oliveira</w:t>
      </w:r>
      <w:r w:rsidRPr="00631199">
        <w:rPr>
          <w:rStyle w:val="HideTWBExt"/>
          <w:b w:val="0"/>
        </w:rPr>
        <w:t>&lt;/Members&gt;</w:t>
      </w:r>
    </w:p>
    <w:p w14:paraId="32AB6394" w14:textId="32784DAB" w:rsidR="004C35EC" w:rsidRPr="00631199" w:rsidRDefault="00507EC7" w:rsidP="004C35EC">
      <w:r w:rsidRPr="00631199">
        <w:rPr>
          <w:rStyle w:val="HideTWBExt"/>
        </w:rPr>
        <w:t>&lt;A</w:t>
      </w:r>
      <w:r w:rsidRPr="00631199">
        <w:rPr>
          <w:rStyle w:val="HideTWBExt"/>
        </w:rPr>
        <w:t>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7417ECC5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54E330C2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2AD27199" w14:textId="1FE25B13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665CBC5E" w14:textId="4C485583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0EB34E6C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0FD44AC5" w14:textId="17168086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6 a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631199" w:rsidRDefault="004C35EC" w:rsidP="00650345">
            <w:pPr>
              <w:keepNext/>
            </w:pPr>
          </w:p>
        </w:tc>
      </w:tr>
      <w:tr w:rsidR="0091476E" w:rsidRPr="00631199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631199" w:rsidRDefault="00507EC7" w:rsidP="00650345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2E929537" w14:textId="77777777" w:rsidR="004C35EC" w:rsidRPr="00631199" w:rsidRDefault="00507EC7" w:rsidP="00650345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631199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631199" w:rsidRDefault="00507EC7" w:rsidP="005A7FE9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</w:rPr>
              <w:t>6a.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b/>
                <w:i/>
              </w:rPr>
              <w:t>jest</w:t>
            </w:r>
            <w:proofErr w:type="gramEnd"/>
            <w:r w:rsidRPr="00631199">
              <w:rPr>
                <w:b/>
                <w:i/>
              </w:rPr>
              <w:t xml:space="preserve"> głęboko zaniepokojony faktem, że globalne wydatki wojskowe nadal rosną do nowych rekordowych poziomów; podkreśla fakt, że wyścig </w:t>
            </w:r>
            <w:r w:rsidRPr="00631199">
              <w:rPr>
                <w:b/>
                <w:i/>
              </w:rPr>
              <w:t xml:space="preserve">zbrojeń nie zapewni bezpieczeństwa obywatelom Europy, za to zgodnie z dylematem bezpieczeństwa zwiększy ryzyko konfliktu siłowego; wzywa Komisję do aktywnego promowania nowych traktatów o kontroli zbrojeń; </w:t>
            </w:r>
          </w:p>
        </w:tc>
      </w:tr>
    </w:tbl>
    <w:p w14:paraId="6363F18C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0C368691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22D52213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588EB9F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50C41FDB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0F070062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1AA671B1" w14:textId="4178FACC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</w:t>
      </w:r>
      <w:r w:rsidRPr="00631199">
        <w:rPr>
          <w:rStyle w:val="HideTWBExt"/>
        </w:rPr>
        <w:t>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52</w:t>
      </w:r>
      <w:r w:rsidRPr="00631199">
        <w:rPr>
          <w:rStyle w:val="HideTWBExt"/>
        </w:rPr>
        <w:t>&lt;/NumAm&gt;</w:t>
      </w:r>
    </w:p>
    <w:p w14:paraId="7E644EB7" w14:textId="4C425A0C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52</w:t>
      </w:r>
      <w:r w:rsidRPr="00631199">
        <w:rPr>
          <w:rStyle w:val="HideTWBExt"/>
          <w:b w:val="0"/>
        </w:rPr>
        <w:t>&lt;/NumAm&gt;</w:t>
      </w:r>
    </w:p>
    <w:p w14:paraId="692CC441" w14:textId="533AD984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Lynn Boylan, Marc Botenga, Hanna Gedin, Jonas Sjöstedt</w:t>
      </w:r>
      <w:r w:rsidRPr="00631199">
        <w:rPr>
          <w:rStyle w:val="HideTWBExt"/>
          <w:b w:val="0"/>
        </w:rPr>
        <w:t>&lt;/Members&gt;</w:t>
      </w:r>
    </w:p>
    <w:p w14:paraId="7571E287" w14:textId="0107DEFF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</w:t>
      </w:r>
      <w:r w:rsidRPr="00631199">
        <w:rPr>
          <w:rStyle w:val="HideTWBExt"/>
        </w:rPr>
        <w:t>e&gt;</w:t>
      </w:r>
    </w:p>
    <w:p w14:paraId="2D0C4AFB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4BA5556D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20CB1310" w14:textId="230C51B6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29A705D6" w14:textId="26028AB8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07979EFD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5EBB04E2" w14:textId="64D3760B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14 a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1FCFBAE7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631199" w:rsidRDefault="00507EC7" w:rsidP="009F6FC0">
            <w:pPr>
              <w:pStyle w:val="Normal6a"/>
            </w:pPr>
            <w:r w:rsidRPr="00631199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631199" w:rsidRDefault="00507EC7" w:rsidP="008949A5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</w:rPr>
              <w:t>14a.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b/>
                <w:i/>
              </w:rPr>
              <w:t>uwzględniając</w:t>
            </w:r>
            <w:proofErr w:type="gramEnd"/>
            <w:r w:rsidRPr="00631199">
              <w:rPr>
                <w:b/>
                <w:i/>
              </w:rPr>
              <w:t xml:space="preserve"> środki tymczasowe zarządzone przez Międzynarodowy Trybunał Sprawiedliwości (MTS) dotyczące stosowania w Strefie Gazy Konwencji w sprawie zapobiegania i karania zbrodni </w:t>
            </w:r>
            <w:r w:rsidRPr="00631199">
              <w:rPr>
                <w:b/>
                <w:i/>
              </w:rPr>
              <w:t>ludobójstwa (Republika Południowej Afryki przeciwko Izraelowi); podkreśla potrzebę przestrzegania i poszanowania prawa międzynarodowego; wzywa Radę i Komisję do dopilnowania, aby UE w żaden sposób nie uczestniczyła w naruszaniu prawa międzynarodowego, w ty</w:t>
            </w:r>
            <w:r w:rsidRPr="00631199">
              <w:rPr>
                <w:b/>
                <w:i/>
              </w:rPr>
              <w:t>m na mocy Konwencji w sprawie zapobiegania i karania zbrodni ludobójstwa, ze szczególnym uwzględnieniem roli europejskiego przemysłu zbrojeniowego w dostarczaniu broni izraelskim siłom obronnym;</w:t>
            </w:r>
          </w:p>
        </w:tc>
      </w:tr>
    </w:tbl>
    <w:p w14:paraId="644C68AC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62587EE0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780842E5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</w:t>
      </w:r>
      <w:r w:rsidRPr="00631199">
        <w:rPr>
          <w:rStyle w:val="HideTWBInt"/>
          <w:color w:val="auto"/>
        </w:rPr>
        <w:t>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FFB3E21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148B6A68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437DD958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4E07DC56" w14:textId="26AD9DA4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53</w:t>
      </w:r>
      <w:r w:rsidRPr="00631199">
        <w:rPr>
          <w:rStyle w:val="HideTWBExt"/>
        </w:rPr>
        <w:t>&lt;/NumAm&gt;</w:t>
      </w:r>
    </w:p>
    <w:p w14:paraId="1E9CA124" w14:textId="1C7A749E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53</w:t>
      </w:r>
      <w:r w:rsidRPr="00631199">
        <w:rPr>
          <w:rStyle w:val="HideTWBExt"/>
          <w:b w:val="0"/>
        </w:rPr>
        <w:t>&lt;/NumAm&gt;</w:t>
      </w:r>
    </w:p>
    <w:p w14:paraId="79DEAA02" w14:textId="73EDABDB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Jonas Sjöstedt, Hanna Gedin</w:t>
      </w:r>
      <w:r w:rsidRPr="00631199">
        <w:rPr>
          <w:rStyle w:val="HideTWBExt"/>
          <w:b w:val="0"/>
        </w:rPr>
        <w:t>&lt;/Members&gt;</w:t>
      </w:r>
    </w:p>
    <w:p w14:paraId="6E2CF6F3" w14:textId="0F7CEB34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4E0ABB97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0CCB7EAE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</w:t>
      </w:r>
      <w:r w:rsidRPr="00631199">
        <w:rPr>
          <w:rStyle w:val="HideTWBExt"/>
          <w:b w:val="0"/>
        </w:rPr>
        <w:t>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75C77F1F" w14:textId="4729A1D6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0164C505" w14:textId="4657DA25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11E714EE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691AA635" w14:textId="0893AD6F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15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</w:t>
            </w:r>
            <w:r w:rsidRPr="00631199">
              <w:t xml:space="preserve"> projekt rezolucji</w:t>
            </w:r>
          </w:p>
        </w:tc>
        <w:tc>
          <w:tcPr>
            <w:tcW w:w="4876" w:type="dxa"/>
          </w:tcPr>
          <w:p w14:paraId="476F53BD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631199" w:rsidRDefault="00507EC7" w:rsidP="009F6FC0">
            <w:pPr>
              <w:pStyle w:val="Normal6a"/>
            </w:pPr>
            <w:r w:rsidRPr="00631199">
              <w:t>15.</w:t>
            </w:r>
            <w:r w:rsidRPr="00631199">
              <w:tab/>
            </w:r>
            <w:proofErr w:type="gramStart"/>
            <w:r w:rsidRPr="00631199">
              <w:t>wzywa</w:t>
            </w:r>
            <w:proofErr w:type="gramEnd"/>
            <w:r w:rsidRPr="00631199">
              <w:t xml:space="preserve"> UE i jej państwa członkowskie, by stały zdecydowanie u boku Ukrainy; przypomina o swoim przekonaniu, że to na ukraińskich polach bitwy zdecyduje się przyszłość Europy, a trajektoria rosyjskiej wojny przeciwko Ukrainie</w:t>
            </w:r>
            <w:r w:rsidRPr="00631199">
              <w:t xml:space="preserve"> zostanie zdecydowanie przesunięta; podkreśla, że takie przesunięcie zależy obecnie niemal wyłącznie od Europejczyków; wzywa zatem państwa członkowskie do przekazania Ukrainie większej ilości broni i amunicji, zanim zakończą się negocjacje; ostrzega, że je</w:t>
            </w:r>
            <w:r w:rsidRPr="00631199">
              <w:t>śli UE miałaby zawieść w swoim wsparciu i jeśli Ukraina miałaby zostać zmuszona do kapitulacji, Rosja zwróciłaby się przeciwko innym krajom, w tym być może państwom członkowskim UE; wzywa państwa członkowskie, partnerów międzynarodowych i sojuszników z NAT</w:t>
            </w:r>
            <w:r w:rsidRPr="00631199">
              <w:t xml:space="preserve">O </w:t>
            </w:r>
            <w:proofErr w:type="gramStart"/>
            <w:r w:rsidRPr="00631199">
              <w:t>do</w:t>
            </w:r>
            <w:proofErr w:type="gramEnd"/>
            <w:r w:rsidRPr="00631199">
              <w:t xml:space="preserve"> zniesienia wszelkich ograniczeń dotyczących wykorzystania zachodnich systemów uzbrojenia dostarczonych do Ukrainy przeciwko celom wojskowym na terytorium Rosji; wzywa UE i jej państwa członkowskie do aktywnych działań na rzecz utrzymania i osiągnięcia</w:t>
            </w:r>
            <w:r w:rsidRPr="00631199">
              <w:t xml:space="preserve"> jak </w:t>
            </w:r>
            <w:r w:rsidRPr="00631199">
              <w:lastRenderedPageBreak/>
              <w:t>najszerszego międzynarodowego wsparcia dla Ukrainy oraz znalezienia pokojowego rozwiązania wojny, które musi opierać się na pełnym poszanowaniu niezależności, suwerenności i integralności terytorialnej Ukrainy, zasadach prawa międzynarodowego, odpowie</w:t>
            </w:r>
            <w:r w:rsidRPr="00631199">
              <w:t>dzialności za zbrodnie wojenne i zbrodnię agresji oraz wypłacie przez Rosję reparacji za rozległe szkody spowodowane w Ukrainie; wzywa UE i jej państwa członkowskie do udziału w ustanowieniu solidnych przyszłych gwarancji bezpieczeństwa dla Ukrainy;</w:t>
            </w:r>
          </w:p>
        </w:tc>
        <w:tc>
          <w:tcPr>
            <w:tcW w:w="4876" w:type="dxa"/>
          </w:tcPr>
          <w:p w14:paraId="40BA5FDF" w14:textId="4997B8FF" w:rsidR="00E946DC" w:rsidRPr="00631199" w:rsidRDefault="00507EC7" w:rsidP="004E6BC0">
            <w:pPr>
              <w:pStyle w:val="Normal6a"/>
              <w:rPr>
                <w:szCs w:val="24"/>
              </w:rPr>
            </w:pPr>
            <w:r w:rsidRPr="00631199">
              <w:rPr>
                <w:rStyle w:val="Aucun"/>
              </w:rPr>
              <w:lastRenderedPageBreak/>
              <w:t>15.</w:t>
            </w:r>
            <w:r w:rsidRPr="00631199">
              <w:rPr>
                <w:rStyle w:val="Aucun"/>
              </w:rPr>
              <w:tab/>
            </w:r>
            <w:proofErr w:type="gramStart"/>
            <w:r w:rsidRPr="00631199">
              <w:rPr>
                <w:rStyle w:val="Aucun"/>
              </w:rPr>
              <w:t>wz</w:t>
            </w:r>
            <w:r w:rsidRPr="00631199">
              <w:rPr>
                <w:rStyle w:val="Aucun"/>
              </w:rPr>
              <w:t>ywa</w:t>
            </w:r>
            <w:proofErr w:type="gramEnd"/>
            <w:r w:rsidRPr="00631199">
              <w:rPr>
                <w:rStyle w:val="Aucun"/>
              </w:rPr>
              <w:t xml:space="preserve"> UE i jej państwa członkowskie, by stały zdecydowanie u boku Ukrainy; przypomina o swoim przekonaniu, że to na ukraińskich polach bitwy zdecyduje się przyszłość Europy, a trajektoria rosyjskiej wojny przeciwko Ukrainie zostanie zdecydowanie przesunięta;</w:t>
            </w:r>
            <w:r w:rsidRPr="00631199">
              <w:rPr>
                <w:rStyle w:val="Aucun"/>
              </w:rPr>
              <w:t xml:space="preserve"> podkreśla, że takie przesunięcie zależy obecnie niemal wyłącznie od Europejczyków; wzywa zatem państwa członkowskie do przekazania Ukrainie większej ilości broni i amunicji, zanim zakończą się negocjacje; ostrzega, że jeśli UE miałaby zawieść w swoim wspa</w:t>
            </w:r>
            <w:r w:rsidRPr="00631199">
              <w:rPr>
                <w:rStyle w:val="Aucun"/>
              </w:rPr>
              <w:t xml:space="preserve">rciu i jeśli Ukraina miałaby zostać zmuszona do kapitulacji, Rosja zwróciłaby się przeciwko innym krajom, w tym być może państwom członkowskim UE; wzywa państwa członkowskie, partnerów międzynarodowych i sojuszników z NATO </w:t>
            </w:r>
            <w:proofErr w:type="gramStart"/>
            <w:r w:rsidRPr="00631199">
              <w:rPr>
                <w:rStyle w:val="Aucun"/>
              </w:rPr>
              <w:t>do</w:t>
            </w:r>
            <w:proofErr w:type="gramEnd"/>
            <w:r w:rsidRPr="00631199">
              <w:rPr>
                <w:rStyle w:val="Aucun"/>
              </w:rPr>
              <w:t xml:space="preserve"> zniesienia wszelkich ogranicze</w:t>
            </w:r>
            <w:r w:rsidRPr="00631199">
              <w:rPr>
                <w:rStyle w:val="Aucun"/>
              </w:rPr>
              <w:t xml:space="preserve">ń dotyczących wykorzystania zachodnich systemów uzbrojenia dostarczonych do Ukrainy przeciwko celom wojskowym na terytorium Rosji; wzywa UE i jej państwa członkowskie do aktywnych działań na rzecz utrzymania i osiągnięcia jak </w:t>
            </w:r>
            <w:r w:rsidRPr="00631199">
              <w:rPr>
                <w:rStyle w:val="Aucun"/>
              </w:rPr>
              <w:lastRenderedPageBreak/>
              <w:t xml:space="preserve">najszerszego międzynarodowego </w:t>
            </w:r>
            <w:r w:rsidRPr="00631199">
              <w:rPr>
                <w:rStyle w:val="Aucun"/>
              </w:rPr>
              <w:t>wsparcia dla Ukrainy oraz znalezienia pokojowego rozwiązania wojny, które musi opierać się na pełnym poszanowaniu niezależności, suwerenności i integralności terytorialnej Ukrainy, zasadach prawa międzynarodowego, odpowiedzialności za zbrodnie wojenne i zb</w:t>
            </w:r>
            <w:r w:rsidRPr="00631199">
              <w:rPr>
                <w:rStyle w:val="Aucun"/>
              </w:rPr>
              <w:t xml:space="preserve">rodnię agresji oraz wypłacie przez Rosję reparacji za rozległe szkody spowodowane w Ukrainie; wzywa UE i jej państwa członkowskie do udziału w ustanowieniu solidnych przyszłych gwarancji bezpieczeństwa dla Ukrainy; </w:t>
            </w:r>
            <w:r w:rsidRPr="0063119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wzywa UE i jej państwa członkowskie do </w:t>
            </w:r>
            <w:proofErr w:type="gramStart"/>
            <w:r w:rsidRPr="0063119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ws</w:t>
            </w:r>
            <w:r w:rsidRPr="0063119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pierania</w:t>
            </w:r>
            <w:proofErr w:type="gramEnd"/>
            <w:r w:rsidRPr="0063119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bez wahania prawa międzynarodowego i porządku światowego opartego na zasadach; przypomina w związku z tym o trwającym dochodzeniu w sprawie okrucieństw popełnionych przez Izrael wobec ludności palestyńskiej; podkreśla, że prawo międzynarodowe ma p</w:t>
            </w:r>
            <w:r w:rsidRPr="00631199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odstawowe znaczenie dla bezpieczeństwa europejskiego; ponownie wyraża poparcie dla MTS, Międzynarodowego Trybunału Karnego i innych organów międzynarodowych prowadzących dochodzenia w sprawie zbrodni przeciwko ludzkości i zbrodni wojennych;</w:t>
            </w:r>
            <w:r w:rsidRPr="00631199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631199" w:rsidRDefault="00507EC7" w:rsidP="004C35EC">
      <w:pPr>
        <w:pStyle w:val="AmOrLang"/>
      </w:pPr>
      <w:r w:rsidRPr="00631199">
        <w:lastRenderedPageBreak/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7DAEE57F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39A72ACE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5D21E971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9056E43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063F4DA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5B53A6A" w14:textId="16252CE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54</w:t>
      </w:r>
      <w:r w:rsidRPr="00631199">
        <w:rPr>
          <w:rStyle w:val="HideTWBExt"/>
        </w:rPr>
        <w:t>&lt;/NumAm&gt;</w:t>
      </w:r>
    </w:p>
    <w:p w14:paraId="448EF1F0" w14:textId="2CB0D1D7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</w:t>
      </w:r>
      <w:r w:rsidRPr="00631199">
        <w:rPr>
          <w:rStyle w:val="HideTWBExt"/>
          <w:b w:val="0"/>
        </w:rPr>
        <w:t>m&gt;</w:t>
      </w:r>
      <w:r w:rsidRPr="00631199">
        <w:t>54</w:t>
      </w:r>
      <w:r w:rsidRPr="00631199">
        <w:rPr>
          <w:rStyle w:val="HideTWBExt"/>
          <w:b w:val="0"/>
        </w:rPr>
        <w:t>&lt;/NumAm&gt;</w:t>
      </w:r>
    </w:p>
    <w:p w14:paraId="3AE460B9" w14:textId="3C817972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Jonas Sjöstedt, Hanna Gedin</w:t>
      </w:r>
      <w:r w:rsidRPr="00631199">
        <w:rPr>
          <w:rStyle w:val="HideTWBExt"/>
          <w:b w:val="0"/>
        </w:rPr>
        <w:t>&lt;/Members&gt;</w:t>
      </w:r>
    </w:p>
    <w:p w14:paraId="665F7F8F" w14:textId="2DFBB00D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78AD6F6E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3098D10A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71982CB2" w14:textId="0A620F46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75F78E1D" w14:textId="7C6E1D1F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3513ECA4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586A1E07" w14:textId="6C76AC23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15 a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010D2BD7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631199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631199" w:rsidRDefault="00507EC7" w:rsidP="005A7FE9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</w:rPr>
              <w:t>15a.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b/>
                <w:i/>
                <w:shd w:val="clear" w:color="auto" w:fill="FFFFFF"/>
              </w:rPr>
              <w:t>z</w:t>
            </w:r>
            <w:proofErr w:type="gramEnd"/>
            <w:r w:rsidRPr="00631199">
              <w:rPr>
                <w:b/>
                <w:i/>
                <w:shd w:val="clear" w:color="auto" w:fill="FFFFFF"/>
              </w:rPr>
              <w:t xml:space="preserve"> zadowoleniem przyjmuje fakt, że kilka państw </w:t>
            </w:r>
            <w:r w:rsidRPr="00631199">
              <w:rPr>
                <w:b/>
                <w:i/>
                <w:shd w:val="clear" w:color="auto" w:fill="FFFFFF"/>
              </w:rPr>
              <w:t>członkowskich popiera egipski plan odbudowy Strefy Gazy; wzywa Komisję, aby pomogła wdrażać ten plan; przypomina, że wynegocjowane rozwiązanie dwupaństwowe, zgodnie z którym Palestyńczycy i Izraelczycy mogą żyć razem w pokoju, zależy od odbudowanego i zdol</w:t>
            </w:r>
            <w:r w:rsidRPr="00631199">
              <w:rPr>
                <w:b/>
                <w:i/>
                <w:shd w:val="clear" w:color="auto" w:fill="FFFFFF"/>
              </w:rPr>
              <w:t xml:space="preserve">nego do samostanowienia społeczeństwa palestyńskiego; przyznaje, że światowa społeczność ma zasadnicze znaczenie dla odbudowy Strefy Gazy; przypomina, że bezpieczeństwo europejskie jest w pełni powiązane z poszanowaniem prawa międzynarodowego i pokojowymi </w:t>
            </w:r>
            <w:r w:rsidRPr="00631199">
              <w:rPr>
                <w:b/>
                <w:i/>
                <w:shd w:val="clear" w:color="auto" w:fill="FFFFFF"/>
              </w:rPr>
              <w:t>rozwiązaniami konfliktów w naszym bezpośrednim otoczeniu;</w:t>
            </w:r>
          </w:p>
        </w:tc>
      </w:tr>
    </w:tbl>
    <w:p w14:paraId="145420FB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7A81EBF0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65453D36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2C4A3788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6411A00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A8F3150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263B68F" w14:textId="1344641C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55</w:t>
      </w:r>
      <w:r w:rsidRPr="00631199">
        <w:rPr>
          <w:rStyle w:val="HideTWBExt"/>
        </w:rPr>
        <w:t>&lt;/NumAm&gt;</w:t>
      </w:r>
    </w:p>
    <w:p w14:paraId="265F6664" w14:textId="745C9F56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55</w:t>
      </w:r>
      <w:r w:rsidRPr="00631199">
        <w:rPr>
          <w:rStyle w:val="HideTWBExt"/>
          <w:b w:val="0"/>
        </w:rPr>
        <w:t>&lt;/NumAm&gt;</w:t>
      </w:r>
    </w:p>
    <w:p w14:paraId="34E7C705" w14:textId="68702FA3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 xml:space="preserve">Jonas </w:t>
      </w:r>
      <w:r w:rsidRPr="00631199">
        <w:t>Sjöstedt, Hanna Gedin</w:t>
      </w:r>
      <w:r w:rsidRPr="00631199">
        <w:rPr>
          <w:rStyle w:val="HideTWBExt"/>
          <w:b w:val="0"/>
        </w:rPr>
        <w:t>&lt;/Members&gt;</w:t>
      </w:r>
    </w:p>
    <w:p w14:paraId="3ACAE99A" w14:textId="18B1BE20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15708A2C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19716991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2EEBA044" w14:textId="00DB8A7F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20701A36" w14:textId="75D797AE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</w:t>
      </w:r>
      <w:r w:rsidRPr="00631199">
        <w:t>ejskiej obrony</w:t>
      </w:r>
      <w:r w:rsidRPr="00631199">
        <w:rPr>
          <w:rStyle w:val="HideTWBExt"/>
        </w:rPr>
        <w:t>&lt;/Titre&gt;</w:t>
      </w:r>
    </w:p>
    <w:p w14:paraId="07AA445D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2A0D66D9" w14:textId="3AA667C8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20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07E37E27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631199" w:rsidRDefault="00507EC7" w:rsidP="009F6FC0">
            <w:pPr>
              <w:pStyle w:val="Normal6a"/>
            </w:pPr>
            <w:r w:rsidRPr="00631199">
              <w:t>20.</w:t>
            </w:r>
            <w:r w:rsidRPr="00631199">
              <w:tab/>
            </w:r>
            <w:proofErr w:type="gramStart"/>
            <w:r w:rsidRPr="00631199">
              <w:rPr>
                <w:rStyle w:val="Aucun"/>
              </w:rPr>
              <w:t>wzywa</w:t>
            </w:r>
            <w:proofErr w:type="gramEnd"/>
            <w:r w:rsidRPr="00631199">
              <w:rPr>
                <w:rStyle w:val="Aucun"/>
              </w:rPr>
              <w:t xml:space="preserve"> Radę i państwa członkowskie do przeglądu i wzmocnienia egzekwowania istniejących sankcji oraz do przyjęcia i </w:t>
            </w:r>
            <w:r w:rsidRPr="00631199">
              <w:rPr>
                <w:rStyle w:val="Aucun"/>
              </w:rPr>
              <w:t>ścisłego wdrożenia środków ograniczających wobec wszystkich podmiotów i państw trzecich, które ułatwiają obchodzenie sankcji, dostarczając rosyjskiemu kompleksowi wojskowemu technologie oraz sprzęt wojskowy i wyposażenie podwójnego zastosowania;</w:t>
            </w:r>
          </w:p>
        </w:tc>
        <w:tc>
          <w:tcPr>
            <w:tcW w:w="4876" w:type="dxa"/>
          </w:tcPr>
          <w:p w14:paraId="443282E8" w14:textId="5CBD1031" w:rsidR="00CD6B1C" w:rsidRPr="00631199" w:rsidRDefault="00507EC7" w:rsidP="004B4D8C">
            <w:pPr>
              <w:pStyle w:val="Normal6a"/>
              <w:rPr>
                <w:b/>
                <w:i/>
                <w:szCs w:val="24"/>
              </w:rPr>
            </w:pPr>
            <w:r w:rsidRPr="00631199">
              <w:t>20.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rStyle w:val="Aucun"/>
              </w:rPr>
              <w:t>wzywa</w:t>
            </w:r>
            <w:proofErr w:type="gramEnd"/>
            <w:r w:rsidRPr="00631199">
              <w:rPr>
                <w:rStyle w:val="Aucun"/>
              </w:rPr>
              <w:t xml:space="preserve"> </w:t>
            </w:r>
            <w:r w:rsidRPr="00631199">
              <w:rPr>
                <w:rStyle w:val="Aucun"/>
              </w:rPr>
              <w:t>Radę i państwa członkowskie do przeglądu i wzmocnienia egzekwowania istniejących sankcji oraz do przyjęcia i ścisłego wdrożenia środków ograniczających wobec wszystkich podmiotów i państw trzecich, które ułatwiają obchodzenie sankcji, dostarczając rosyjski</w:t>
            </w:r>
            <w:r w:rsidRPr="00631199">
              <w:rPr>
                <w:rStyle w:val="Aucun"/>
              </w:rPr>
              <w:t xml:space="preserve">emu kompleksowi wojskowemu technologie oraz sprzęt wojskowy i wyposażenie podwójnego zastosowania; </w:t>
            </w:r>
            <w:r w:rsidRPr="00631199">
              <w:rPr>
                <w:rStyle w:val="Aucun"/>
                <w:b/>
                <w:i/>
              </w:rPr>
              <w:t>wzywa państwa członkowskie do zwrócenia szczególnej uwagi na rosyjską flotę cieni oraz związane z nią zagrożenia dla bezpieczeństwa i środowiska;</w:t>
            </w:r>
          </w:p>
        </w:tc>
      </w:tr>
    </w:tbl>
    <w:p w14:paraId="6228DB46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5470FF98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0E0A4B08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BED1918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11E8877C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20A26AC1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</w:t>
      </w:r>
      <w:r w:rsidRPr="00631199">
        <w:rPr>
          <w:rStyle w:val="HideTWBExt"/>
        </w:rPr>
        <w:t>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11E62543" w14:textId="3F3C7DC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56</w:t>
      </w:r>
      <w:r w:rsidRPr="00631199">
        <w:rPr>
          <w:rStyle w:val="HideTWBExt"/>
        </w:rPr>
        <w:t>&lt;/NumAm&gt;</w:t>
      </w:r>
    </w:p>
    <w:p w14:paraId="45304931" w14:textId="2DAE86AC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56</w:t>
      </w:r>
      <w:r w:rsidRPr="00631199">
        <w:rPr>
          <w:rStyle w:val="HideTWBExt"/>
          <w:b w:val="0"/>
        </w:rPr>
        <w:t>&lt;/NumAm&gt;</w:t>
      </w:r>
    </w:p>
    <w:p w14:paraId="6874AC13" w14:textId="5782852E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Marc Botenga</w:t>
      </w:r>
      <w:r w:rsidRPr="00631199">
        <w:rPr>
          <w:rStyle w:val="HideTWBExt"/>
          <w:b w:val="0"/>
        </w:rPr>
        <w:t>&lt;/Members&gt;</w:t>
      </w:r>
    </w:p>
    <w:p w14:paraId="5EFA357C" w14:textId="21C09736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3FE2B50E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7748C036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3D02C790" w14:textId="6B5F54AA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2EAEA12D" w14:textId="7475C616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7C6A0839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0ACA5A7C" w14:textId="3FD3B601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 xml:space="preserve">Ustęp </w:t>
      </w:r>
      <w:r w:rsidRPr="00631199">
        <w:t>22 a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1FF1EBD5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631199" w:rsidRDefault="00507EC7" w:rsidP="009F6FC0">
            <w:pPr>
              <w:pStyle w:val="Normal6a"/>
            </w:pPr>
            <w:r w:rsidRPr="00631199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631199" w:rsidRDefault="00507EC7" w:rsidP="0042635B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</w:rPr>
              <w:t>22a.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b/>
                <w:i/>
              </w:rPr>
              <w:t>wzywa</w:t>
            </w:r>
            <w:proofErr w:type="gramEnd"/>
            <w:r w:rsidRPr="00631199">
              <w:rPr>
                <w:b/>
                <w:i/>
              </w:rPr>
              <w:t xml:space="preserve"> państwa członkowskie do pracy nad nową długoterminową architekturą bezpieczeństwa zbiorowego dla Europy, inspirowaną zasadami procesu helsińskiego i obejmującą koncepcję wzajemnych </w:t>
            </w:r>
            <w:r w:rsidRPr="00631199">
              <w:rPr>
                <w:b/>
                <w:i/>
              </w:rPr>
              <w:t>gwarancji bezpieczeństwa; zwraca uwagę, że podstawowym aspektem takiego podejścia jest poszanowanie suwerenności i integralności terytorialnej wszystkich narodów oraz zobowiązanie do przestrzegania prawa międzynarodowego;</w:t>
            </w:r>
          </w:p>
        </w:tc>
      </w:tr>
      <w:tr w:rsidR="0091476E" w:rsidRPr="00631199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631199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631199" w:rsidRDefault="0042635B" w:rsidP="0042635B">
            <w:pPr>
              <w:pStyle w:val="Normal6a"/>
              <w:rPr>
                <w:b/>
                <w:i/>
                <w:color w:val="000000"/>
              </w:rPr>
            </w:pPr>
          </w:p>
        </w:tc>
      </w:tr>
    </w:tbl>
    <w:p w14:paraId="156C4B43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</w:t>
      </w:r>
      <w:r w:rsidRPr="00631199">
        <w:rPr>
          <w:rStyle w:val="HideTWBExt"/>
          <w:rFonts w:eastAsiaTheme="majorEastAsia"/>
        </w:rPr>
        <w:t>&gt;</w:t>
      </w:r>
      <w:proofErr w:type="gramEnd"/>
    </w:p>
    <w:p w14:paraId="76900BF3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0F27557A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306E7E2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AFABCA4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023BD04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6170969" w14:textId="378E0E74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57</w:t>
      </w:r>
      <w:r w:rsidRPr="00631199">
        <w:rPr>
          <w:rStyle w:val="HideTWBExt"/>
        </w:rPr>
        <w:t>&lt;/NumAm&gt;</w:t>
      </w:r>
    </w:p>
    <w:p w14:paraId="1CD0DB83" w14:textId="36BC1E03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57</w:t>
      </w:r>
      <w:r w:rsidRPr="00631199">
        <w:rPr>
          <w:rStyle w:val="HideTWBExt"/>
          <w:b w:val="0"/>
        </w:rPr>
        <w:t>&lt;/NumAm&gt;</w:t>
      </w:r>
    </w:p>
    <w:p w14:paraId="1381E651" w14:textId="653D212B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Marc Botenga, João Oliveira</w:t>
      </w:r>
      <w:r w:rsidRPr="00631199">
        <w:rPr>
          <w:rStyle w:val="HideTWBExt"/>
          <w:b w:val="0"/>
        </w:rPr>
        <w:t>&lt;/Members&gt;</w:t>
      </w:r>
    </w:p>
    <w:p w14:paraId="796D6DF7" w14:textId="752E4D1A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762093F0" w14:textId="77777777" w:rsidR="004C35EC" w:rsidRPr="00631199" w:rsidRDefault="00507EC7" w:rsidP="004C35EC">
      <w:r w:rsidRPr="00631199">
        <w:rPr>
          <w:rStyle w:val="HideTWBExt"/>
        </w:rPr>
        <w:t>&lt;/Repea</w:t>
      </w:r>
      <w:r w:rsidRPr="00631199">
        <w:rPr>
          <w:rStyle w:val="HideTWBExt"/>
        </w:rPr>
        <w:t>tBlock-By&gt;</w:t>
      </w:r>
    </w:p>
    <w:p w14:paraId="5AD85E17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399E7498" w14:textId="3C49F505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0EEBB5B3" w14:textId="0C50E086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03A65CA3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203C8D11" w14:textId="15C234BF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 xml:space="preserve">Ustęp 22 b </w:t>
      </w:r>
      <w:r w:rsidRPr="00631199">
        <w:t>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7622971E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631199" w:rsidRDefault="00507EC7" w:rsidP="009F6FC0">
            <w:pPr>
              <w:pStyle w:val="Normal6a"/>
            </w:pPr>
            <w:r w:rsidRPr="00631199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631199" w:rsidRDefault="00507EC7" w:rsidP="00CD6B1C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</w:rPr>
              <w:t>22b.</w:t>
            </w:r>
            <w:r w:rsidRPr="00631199">
              <w:rPr>
                <w:b/>
                <w:i/>
              </w:rPr>
              <w:tab/>
              <w:t>nalega, aby w nowej europejskiej architekturze bezpieczeństwa stosowano zasady pokojowego współistnienia państw o różnych systemach politycznych i oferowano gwarancje bezpieczeństwa wszystkim st</w:t>
            </w:r>
            <w:r w:rsidRPr="00631199">
              <w:rPr>
                <w:b/>
                <w:i/>
              </w:rPr>
              <w:t>ronom;</w:t>
            </w:r>
          </w:p>
        </w:tc>
      </w:tr>
    </w:tbl>
    <w:p w14:paraId="544A2020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3ABF5367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58EF5FD9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723CE1F8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24B5D4A4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6EAB60A1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FA70483" w14:textId="42701AB9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58</w:t>
      </w:r>
      <w:r w:rsidRPr="00631199">
        <w:rPr>
          <w:rStyle w:val="HideTWBExt"/>
        </w:rPr>
        <w:t>&lt;/NumAm&gt;</w:t>
      </w:r>
    </w:p>
    <w:p w14:paraId="0564F188" w14:textId="6726D8DF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58</w:t>
      </w:r>
      <w:r w:rsidRPr="00631199">
        <w:rPr>
          <w:rStyle w:val="HideTWBExt"/>
          <w:b w:val="0"/>
        </w:rPr>
        <w:t>&lt;/NumAm&gt;</w:t>
      </w:r>
    </w:p>
    <w:p w14:paraId="0C929D04" w14:textId="7C8F67D0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Manon Aubry, Marina Mesure, Marc Botenga</w:t>
      </w:r>
      <w:r w:rsidRPr="00631199">
        <w:rPr>
          <w:rStyle w:val="HideTWBExt"/>
          <w:b w:val="0"/>
        </w:rPr>
        <w:t>&lt;/Members&gt;</w:t>
      </w:r>
    </w:p>
    <w:p w14:paraId="6F9E552D" w14:textId="1563E673" w:rsidR="004C35EC" w:rsidRPr="00631199" w:rsidRDefault="00507EC7" w:rsidP="004C35EC">
      <w:pPr>
        <w:rPr>
          <w:rStyle w:val="HideTWBExt"/>
        </w:rPr>
      </w:pPr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</w:t>
      </w:r>
      <w:r w:rsidRPr="00631199">
        <w:rPr>
          <w:rStyle w:val="HideTWBInt"/>
          <w:color w:val="auto"/>
        </w:rPr>
        <w:t>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28369E6E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526897D5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1195B739" w14:textId="40FFCA32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37A2CE50" w14:textId="348C8559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7BD1AD46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 xml:space="preserve">Wspólny </w:t>
      </w:r>
      <w:r w:rsidRPr="00631199">
        <w:t>projekt rezolucji</w:t>
      </w:r>
      <w:r w:rsidRPr="00631199">
        <w:rPr>
          <w:rStyle w:val="HideTWBExt"/>
          <w:b w:val="0"/>
        </w:rPr>
        <w:t>&lt;/DocAmend&gt;</w:t>
      </w:r>
    </w:p>
    <w:p w14:paraId="35F14AF2" w14:textId="699675B4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33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12C049AC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631199" w:rsidRDefault="00507EC7" w:rsidP="004B4D8C">
            <w:pPr>
              <w:pStyle w:val="Normal6a"/>
              <w:rPr>
                <w:b/>
                <w:i/>
              </w:rPr>
            </w:pPr>
            <w:r w:rsidRPr="00631199">
              <w:t>33.</w:t>
            </w:r>
            <w:r w:rsidRPr="00631199">
              <w:rPr>
                <w:b/>
                <w:i/>
              </w:rPr>
              <w:tab/>
            </w:r>
            <w:proofErr w:type="gramStart"/>
            <w:r w:rsidRPr="00631199">
              <w:rPr>
                <w:rStyle w:val="Aucun"/>
              </w:rPr>
              <w:t>jest</w:t>
            </w:r>
            <w:proofErr w:type="gramEnd"/>
            <w:r w:rsidRPr="00631199">
              <w:rPr>
                <w:rStyle w:val="Aucun"/>
              </w:rPr>
              <w:t xml:space="preserve"> głęboko przekonany, że w obecnym kontekście geopolitycznym niezwykle ważne </w:t>
            </w:r>
            <w:r w:rsidRPr="00631199">
              <w:rPr>
                <w:rStyle w:val="Aucun"/>
                <w:b/>
                <w:i/>
              </w:rPr>
              <w:t>jest</w:t>
            </w:r>
            <w:r w:rsidRPr="00631199">
              <w:rPr>
                <w:rStyle w:val="Aucun"/>
              </w:rPr>
              <w:t xml:space="preserve"> stosowanie art. 42 ust. 7 Traktatu o Unii Europejskiej (TUE) dotyczącego wzajemnej pomocy, co zapewni solidarność między państwami członkowskimi, </w:t>
            </w:r>
            <w:r w:rsidRPr="00631199">
              <w:rPr>
                <w:rStyle w:val="Aucun"/>
                <w:b/>
                <w:i/>
              </w:rPr>
              <w:t>zwłaszcza tymi, których położenie geograficzne naraża je na bezpośrednie zagrożenia i wyzwania, niezależnie o</w:t>
            </w:r>
            <w:r w:rsidRPr="00631199">
              <w:rPr>
                <w:rStyle w:val="Aucun"/>
                <w:b/>
                <w:i/>
              </w:rPr>
              <w:t>d tego, czy są one członkami</w:t>
            </w:r>
            <w:r w:rsidRPr="00631199">
              <w:rPr>
                <w:rStyle w:val="Aucun"/>
              </w:rPr>
              <w:t xml:space="preserve"> NATO;</w:t>
            </w:r>
          </w:p>
        </w:tc>
        <w:tc>
          <w:tcPr>
            <w:tcW w:w="4876" w:type="dxa"/>
          </w:tcPr>
          <w:p w14:paraId="67A560F7" w14:textId="0ECF8E1B" w:rsidR="00CD6B1C" w:rsidRPr="00631199" w:rsidRDefault="00507EC7" w:rsidP="004B4D8C">
            <w:pPr>
              <w:jc w:val="both"/>
              <w:rPr>
                <w:b/>
                <w:i/>
                <w:color w:val="1E1E1F"/>
                <w:shd w:val="clear" w:color="auto" w:fill="FFFFFF"/>
              </w:rPr>
            </w:pPr>
            <w:r w:rsidRPr="00631199">
              <w:rPr>
                <w:shd w:val="clear" w:color="auto" w:fill="FFFFFF"/>
              </w:rPr>
              <w:t>33.</w:t>
            </w:r>
            <w:r w:rsidRPr="00631199">
              <w:rPr>
                <w:b/>
                <w:i/>
                <w:shd w:val="clear" w:color="auto" w:fill="FFFFFF"/>
              </w:rPr>
              <w:tab/>
            </w:r>
            <w:proofErr w:type="gramStart"/>
            <w:r w:rsidRPr="00631199">
              <w:rPr>
                <w:rStyle w:val="Aucun"/>
              </w:rPr>
              <w:t>jest</w:t>
            </w:r>
            <w:proofErr w:type="gramEnd"/>
            <w:r w:rsidRPr="00631199">
              <w:rPr>
                <w:rStyle w:val="Aucun"/>
              </w:rPr>
              <w:t xml:space="preserve"> głęboko przekonany, że w obecnym kontekście geopolitycznym </w:t>
            </w:r>
            <w:r w:rsidRPr="00631199">
              <w:rPr>
                <w:rStyle w:val="Aucun"/>
                <w:b/>
                <w:i/>
              </w:rPr>
              <w:t xml:space="preserve">prawdziwą europejską autonomię strategiczną można osiągnąć tylko wówczas, jeśli za </w:t>
            </w:r>
            <w:r w:rsidRPr="00631199">
              <w:rPr>
                <w:rStyle w:val="Aucun"/>
              </w:rPr>
              <w:t xml:space="preserve">niezwykle ważne </w:t>
            </w:r>
            <w:r w:rsidRPr="00631199">
              <w:rPr>
                <w:rStyle w:val="Aucun"/>
                <w:b/>
                <w:i/>
              </w:rPr>
              <w:t>uzna się</w:t>
            </w:r>
            <w:r w:rsidRPr="00631199">
              <w:rPr>
                <w:rStyle w:val="Aucun"/>
              </w:rPr>
              <w:t xml:space="preserve"> stosowanie art. 42 ust. 7 Traktatu o Unii Eur</w:t>
            </w:r>
            <w:r w:rsidRPr="00631199">
              <w:rPr>
                <w:rStyle w:val="Aucun"/>
              </w:rPr>
              <w:t xml:space="preserve">opejskiej (TUE) dotyczącego wzajemnej pomocy, co zapewni solidarność między państwami członkowskimi, </w:t>
            </w:r>
            <w:r w:rsidRPr="00631199">
              <w:rPr>
                <w:rStyle w:val="Aucun"/>
                <w:b/>
                <w:i/>
              </w:rPr>
              <w:t>i jeśli stanie się to podstawą zbiorowej obrony wszystkich państw członkowskich zamiast polegania na</w:t>
            </w:r>
            <w:r w:rsidRPr="00631199">
              <w:rPr>
                <w:rStyle w:val="Aucun"/>
              </w:rPr>
              <w:t xml:space="preserve"> NATO;</w:t>
            </w:r>
          </w:p>
          <w:p w14:paraId="444BF71F" w14:textId="00C3B080" w:rsidR="004C35EC" w:rsidRPr="00631199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Pr="00631199">
        <w:rPr>
          <w:rStyle w:val="HideTWBInt"/>
        </w:rPr>
        <w:t>{EN}</w:t>
      </w:r>
      <w:proofErr w:type="gramStart"/>
      <w:r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0EFE3929" w14:textId="77777777" w:rsidR="004C35EC" w:rsidRPr="00631199" w:rsidRDefault="00507EC7" w:rsidP="004C35EC">
      <w:r w:rsidRPr="00631199">
        <w:br w:type="page"/>
      </w:r>
      <w:r w:rsidRPr="00631199">
        <w:rPr>
          <w:rStyle w:val="HideTWBExt"/>
        </w:rPr>
        <w:t>&lt;/Amend&gt;</w:t>
      </w:r>
    </w:p>
    <w:p w14:paraId="49E38E92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lastRenderedPageBreak/>
        <w:t>&lt;Amend&gt;&lt;Date&gt;</w:t>
      </w:r>
      <w:r w:rsidRPr="00631199">
        <w:rPr>
          <w:rStyle w:val="HideTWBInt"/>
          <w:color w:val="auto"/>
        </w:rPr>
        <w:t>{10/03/2025}</w:t>
      </w:r>
      <w:r w:rsidRPr="00631199">
        <w:t>10.3.2025</w:t>
      </w:r>
      <w:r w:rsidRPr="00631199">
        <w:rPr>
          <w:rStyle w:val="HideTWBExt"/>
        </w:rPr>
        <w:t>&lt;/Date&gt;</w:t>
      </w:r>
      <w:r w:rsidRPr="00631199">
        <w:t xml:space="preserve"> </w:t>
      </w:r>
      <w:r w:rsidRPr="00631199">
        <w:rPr>
          <w:rStyle w:val="HideTWBExt"/>
        </w:rPr>
        <w:t>&lt;RepeatBlock-BNos&gt;&lt;BNos&gt;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0146/2025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9E1451D" w14:textId="77777777" w:rsidR="004C35EC" w:rsidRPr="00631199" w:rsidRDefault="00507EC7" w:rsidP="004E280B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0147/2025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12254DB8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0148/2025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3C2339B3" w14:textId="77777777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&lt;/BNos&gt;&lt;BNos&gt;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0149/2025</w:t>
      </w:r>
      <w:r w:rsidRPr="00631199">
        <w:rPr>
          <w:rStyle w:val="HideTWBExt"/>
        </w:rPr>
        <w:t>&lt;/NoDocSe&gt;</w:t>
      </w:r>
      <w:r w:rsidRPr="00631199">
        <w:t xml:space="preserve"> } </w:t>
      </w:r>
    </w:p>
    <w:p w14:paraId="2E696829" w14:textId="2DD2CE2E" w:rsidR="004C35EC" w:rsidRPr="00631199" w:rsidRDefault="00507EC7" w:rsidP="004C35EC">
      <w:pPr>
        <w:pStyle w:val="AmDateTabRC"/>
      </w:pPr>
      <w:r w:rsidRPr="00631199">
        <w:rPr>
          <w:rStyle w:val="HideTWBExt"/>
        </w:rPr>
        <w:t>&lt;/B</w:t>
      </w:r>
      <w:r w:rsidRPr="00631199">
        <w:rPr>
          <w:rStyle w:val="HideTWBExt"/>
        </w:rPr>
        <w:t>Nos&gt;&lt;/RepeatBlock-BNos&gt;</w:t>
      </w:r>
      <w:r w:rsidRPr="00631199">
        <w:tab/>
      </w:r>
      <w:r w:rsidRPr="00631199">
        <w:rPr>
          <w:rStyle w:val="HideTWBExt"/>
        </w:rPr>
        <w:t>&lt;NoDocSe&gt;</w:t>
      </w:r>
      <w:r w:rsidRPr="00631199">
        <w:t>B10</w:t>
      </w:r>
      <w:r w:rsidRPr="00631199">
        <w:noBreakHyphen/>
        <w:t>0150/2025</w:t>
      </w:r>
      <w:r w:rsidRPr="00631199">
        <w:rPr>
          <w:rStyle w:val="HideTWBExt"/>
        </w:rPr>
        <w:t>&lt;/NoDocSe&gt;</w:t>
      </w:r>
      <w:r w:rsidRPr="00631199">
        <w:t xml:space="preserve"> } RC1/Popr. </w:t>
      </w:r>
      <w:r w:rsidRPr="00631199">
        <w:rPr>
          <w:rStyle w:val="HideTWBExt"/>
        </w:rPr>
        <w:t>&lt;NumAm&gt;</w:t>
      </w:r>
      <w:r w:rsidRPr="00631199">
        <w:t>59</w:t>
      </w:r>
      <w:r w:rsidRPr="00631199">
        <w:rPr>
          <w:rStyle w:val="HideTWBExt"/>
        </w:rPr>
        <w:t>&lt;/NumAm&gt;</w:t>
      </w:r>
    </w:p>
    <w:p w14:paraId="1CCDC876" w14:textId="5103543C" w:rsidR="004C35EC" w:rsidRPr="00631199" w:rsidRDefault="00507EC7" w:rsidP="004C35EC">
      <w:pPr>
        <w:pStyle w:val="AmNumberTabs"/>
      </w:pPr>
      <w:r w:rsidRPr="00631199">
        <w:t>Poprawka</w:t>
      </w:r>
      <w:r w:rsidRPr="00631199">
        <w:tab/>
      </w:r>
      <w:r w:rsidRPr="00631199">
        <w:tab/>
      </w:r>
      <w:r w:rsidRPr="00631199">
        <w:rPr>
          <w:rStyle w:val="HideTWBExt"/>
          <w:b w:val="0"/>
        </w:rPr>
        <w:t>&lt;NumAm&gt;</w:t>
      </w:r>
      <w:r w:rsidRPr="00631199">
        <w:t>59</w:t>
      </w:r>
      <w:r w:rsidRPr="00631199">
        <w:rPr>
          <w:rStyle w:val="HideTWBExt"/>
          <w:b w:val="0"/>
        </w:rPr>
        <w:t>&lt;/NumAm&gt;</w:t>
      </w:r>
    </w:p>
    <w:p w14:paraId="1D9008FF" w14:textId="5C00C885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&lt;RepeatBlock-By&gt;&lt;Members&gt;</w:t>
      </w:r>
      <w:r w:rsidRPr="00631199">
        <w:t>Giorgos Georgiou</w:t>
      </w:r>
      <w:r w:rsidRPr="00631199">
        <w:rPr>
          <w:rStyle w:val="HideTWBExt"/>
          <w:b w:val="0"/>
        </w:rPr>
        <w:t>&lt;/Members&gt;</w:t>
      </w:r>
    </w:p>
    <w:p w14:paraId="39B5E5F8" w14:textId="4B8B4BC5" w:rsidR="004C35EC" w:rsidRPr="00631199" w:rsidRDefault="00507EC7" w:rsidP="004C35EC">
      <w:r w:rsidRPr="00631199">
        <w:rPr>
          <w:rStyle w:val="HideTWBExt"/>
        </w:rPr>
        <w:t>&lt;AuNomDe&gt;</w:t>
      </w:r>
      <w:r w:rsidRPr="00631199">
        <w:rPr>
          <w:rStyle w:val="HideTWBInt"/>
          <w:color w:val="auto"/>
        </w:rPr>
        <w:t>{The Left}</w:t>
      </w:r>
      <w:proofErr w:type="gramStart"/>
      <w:r w:rsidRPr="00631199">
        <w:t>w</w:t>
      </w:r>
      <w:proofErr w:type="gramEnd"/>
      <w:r w:rsidRPr="00631199">
        <w:t xml:space="preserve"> imieniu grupy The Left</w:t>
      </w:r>
      <w:r w:rsidRPr="00631199">
        <w:rPr>
          <w:rStyle w:val="HideTWBExt"/>
        </w:rPr>
        <w:t>&lt;/AuNomDe&gt;</w:t>
      </w:r>
    </w:p>
    <w:p w14:paraId="124431F0" w14:textId="77777777" w:rsidR="004C35EC" w:rsidRPr="00631199" w:rsidRDefault="00507EC7" w:rsidP="004C35EC">
      <w:r w:rsidRPr="00631199">
        <w:rPr>
          <w:rStyle w:val="HideTWBExt"/>
        </w:rPr>
        <w:t>&lt;/RepeatBlock-By&gt;</w:t>
      </w:r>
    </w:p>
    <w:p w14:paraId="5D3C8BAB" w14:textId="77777777" w:rsidR="004C35EC" w:rsidRPr="00631199" w:rsidRDefault="00507EC7" w:rsidP="004C35EC">
      <w:pPr>
        <w:pStyle w:val="AmDocTypeTab"/>
        <w:rPr>
          <w:noProof/>
        </w:rPr>
      </w:pPr>
      <w:r w:rsidRPr="00631199">
        <w:rPr>
          <w:rStyle w:val="HideTWBExt"/>
          <w:b w:val="0"/>
        </w:rPr>
        <w:t>&lt;TitreType&gt;</w:t>
      </w:r>
      <w:r w:rsidRPr="00631199">
        <w:t>Wspólny projekt rezolucji</w:t>
      </w:r>
      <w:r w:rsidRPr="00631199">
        <w:rPr>
          <w:rStyle w:val="HideTWBExt"/>
          <w:b w:val="0"/>
        </w:rPr>
        <w:t>&lt;/TitreType&gt;</w:t>
      </w:r>
    </w:p>
    <w:p w14:paraId="76C703E6" w14:textId="67E1C737" w:rsidR="004C35EC" w:rsidRPr="00631199" w:rsidRDefault="00507EC7" w:rsidP="004C35EC">
      <w:pPr>
        <w:pStyle w:val="NormalBold"/>
        <w:rPr>
          <w:noProof/>
        </w:rPr>
      </w:pPr>
      <w:r w:rsidRPr="00631199">
        <w:rPr>
          <w:rStyle w:val="HideTWBExt"/>
          <w:b w:val="0"/>
        </w:rPr>
        <w:t>&lt;Rapporteur&gt;</w:t>
      </w:r>
      <w:r w:rsidRPr="00631199">
        <w:t>PPE, S&amp;D, ECR, Renew, The Left</w:t>
      </w:r>
      <w:r w:rsidRPr="00631199">
        <w:rPr>
          <w:rStyle w:val="HideTWBExt"/>
          <w:b w:val="0"/>
        </w:rPr>
        <w:t>&lt;/Rapporteur&gt;</w:t>
      </w:r>
    </w:p>
    <w:p w14:paraId="4BED7428" w14:textId="39E6939E" w:rsidR="004C35EC" w:rsidRPr="00631199" w:rsidRDefault="00507EC7" w:rsidP="004C35EC">
      <w:pPr>
        <w:pStyle w:val="Normal12a"/>
      </w:pPr>
      <w:r w:rsidRPr="00631199">
        <w:rPr>
          <w:rStyle w:val="HideTWBExt"/>
        </w:rPr>
        <w:t>&lt;Titre&gt;</w:t>
      </w:r>
      <w:r w:rsidRPr="00631199">
        <w:t>Biała księga w sprawie przyszłości europejskiej obrony</w:t>
      </w:r>
      <w:r w:rsidRPr="00631199">
        <w:rPr>
          <w:rStyle w:val="HideTWBExt"/>
        </w:rPr>
        <w:t>&lt;/Titre&gt;</w:t>
      </w:r>
    </w:p>
    <w:p w14:paraId="6F8E080E" w14:textId="77777777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&lt;DocAmend&gt;</w:t>
      </w:r>
      <w:r w:rsidRPr="00631199">
        <w:t>Wspólny projekt rezolucji</w:t>
      </w:r>
      <w:r w:rsidRPr="00631199">
        <w:rPr>
          <w:rStyle w:val="HideTWBExt"/>
          <w:b w:val="0"/>
        </w:rPr>
        <w:t>&lt;/DocAmend&gt;</w:t>
      </w:r>
    </w:p>
    <w:p w14:paraId="36D80602" w14:textId="422E30C3" w:rsidR="004C35EC" w:rsidRPr="00631199" w:rsidRDefault="00507EC7" w:rsidP="004C35EC">
      <w:pPr>
        <w:pStyle w:val="NormalBold"/>
      </w:pPr>
      <w:r w:rsidRPr="00631199">
        <w:rPr>
          <w:rStyle w:val="HideTWBExt"/>
          <w:b w:val="0"/>
        </w:rPr>
        <w:t>&lt;Article&gt;</w:t>
      </w:r>
      <w:r w:rsidRPr="00631199">
        <w:t>Ustęp 32 a (nowy)</w:t>
      </w:r>
      <w:r w:rsidRPr="00631199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1476E" w:rsidRPr="00631199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631199" w:rsidRDefault="004C35EC" w:rsidP="009F6FC0">
            <w:pPr>
              <w:keepNext/>
            </w:pPr>
          </w:p>
        </w:tc>
      </w:tr>
      <w:tr w:rsidR="0091476E" w:rsidRPr="00631199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Wspólny projekt rezolucji</w:t>
            </w:r>
          </w:p>
        </w:tc>
        <w:tc>
          <w:tcPr>
            <w:tcW w:w="4876" w:type="dxa"/>
          </w:tcPr>
          <w:p w14:paraId="359FC2C4" w14:textId="77777777" w:rsidR="004C35EC" w:rsidRPr="00631199" w:rsidRDefault="00507EC7" w:rsidP="009F6FC0">
            <w:pPr>
              <w:pStyle w:val="AmColumnHeading"/>
              <w:keepNext/>
            </w:pPr>
            <w:r w:rsidRPr="00631199">
              <w:t>Poprawka</w:t>
            </w:r>
          </w:p>
        </w:tc>
      </w:tr>
      <w:tr w:rsidR="0091476E" w:rsidRPr="00631199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631199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631199" w:rsidRDefault="00507EC7" w:rsidP="00A33950">
            <w:pPr>
              <w:pStyle w:val="Normal6a"/>
              <w:rPr>
                <w:b/>
                <w:i/>
                <w:szCs w:val="24"/>
              </w:rPr>
            </w:pPr>
            <w:r w:rsidRPr="00631199">
              <w:rPr>
                <w:b/>
                <w:i/>
                <w:shd w:val="clear" w:color="auto" w:fill="FFFFFF"/>
              </w:rPr>
              <w:t>32a.</w:t>
            </w:r>
            <w:r w:rsidRPr="00631199">
              <w:rPr>
                <w:b/>
                <w:i/>
                <w:shd w:val="clear" w:color="auto" w:fill="FFFFFF"/>
              </w:rPr>
              <w:tab/>
            </w:r>
            <w:proofErr w:type="gramStart"/>
            <w:r w:rsidRPr="00631199">
              <w:rPr>
                <w:b/>
                <w:i/>
                <w:shd w:val="clear" w:color="auto" w:fill="FFFFFF"/>
              </w:rPr>
              <w:t>ponownie</w:t>
            </w:r>
            <w:proofErr w:type="gramEnd"/>
            <w:r w:rsidRPr="00631199">
              <w:rPr>
                <w:b/>
                <w:i/>
                <w:shd w:val="clear" w:color="auto" w:fill="FFFFFF"/>
              </w:rPr>
              <w:t xml:space="preserve"> wzywa Turcję, członka NATO, do wycofania swoich wojsk z Cypru, państwa członkowskiego UE, oraz do konstruktywnej pracy na rzecz znalezienia realnego i pokojowego rozwiązania opartego na odpowiednich </w:t>
            </w:r>
            <w:r w:rsidRPr="00631199">
              <w:rPr>
                <w:b/>
                <w:i/>
                <w:shd w:val="clear" w:color="auto" w:fill="FFFFFF"/>
              </w:rPr>
              <w:t>rezolucjach ONZ;</w:t>
            </w:r>
          </w:p>
        </w:tc>
      </w:tr>
    </w:tbl>
    <w:p w14:paraId="39DA035B" w14:textId="77777777" w:rsidR="004C35EC" w:rsidRPr="00631199" w:rsidRDefault="00507EC7" w:rsidP="004C35EC">
      <w:pPr>
        <w:pStyle w:val="AmOrLang"/>
      </w:pPr>
      <w:r w:rsidRPr="00631199">
        <w:t xml:space="preserve">Or. </w:t>
      </w:r>
      <w:r w:rsidRPr="00631199">
        <w:rPr>
          <w:rStyle w:val="HideTWBExt"/>
          <w:rFonts w:eastAsiaTheme="majorEastAsia"/>
        </w:rPr>
        <w:t>&lt;Original&gt;</w:t>
      </w:r>
      <w:r w:rsidR="00C02B73" w:rsidRPr="00631199">
        <w:rPr>
          <w:rStyle w:val="HideTWBInt"/>
        </w:rPr>
        <w:t>{EN}</w:t>
      </w:r>
      <w:proofErr w:type="gramStart"/>
      <w:r w:rsidR="00C02B73" w:rsidRPr="00631199">
        <w:t>en</w:t>
      </w:r>
      <w:r w:rsidRPr="00631199">
        <w:rPr>
          <w:rStyle w:val="HideTWBExt"/>
          <w:rFonts w:eastAsiaTheme="majorEastAsia"/>
        </w:rPr>
        <w:t>&lt;/Original&gt;</w:t>
      </w:r>
      <w:proofErr w:type="gramEnd"/>
    </w:p>
    <w:p w14:paraId="7BBF9086" w14:textId="77777777" w:rsidR="004C35EC" w:rsidRPr="00631199" w:rsidRDefault="00507EC7" w:rsidP="004C35EC">
      <w:r w:rsidRPr="00631199">
        <w:rPr>
          <w:rStyle w:val="HideTWBExt"/>
        </w:rPr>
        <w:t>&lt;/Amend&gt;</w:t>
      </w:r>
    </w:p>
    <w:p w14:paraId="7F18560B" w14:textId="77777777" w:rsidR="005C6490" w:rsidRPr="00631199" w:rsidRDefault="00507EC7" w:rsidP="005C6490">
      <w:pPr>
        <w:tabs>
          <w:tab w:val="left" w:pos="-720"/>
        </w:tabs>
      </w:pPr>
      <w:r w:rsidRPr="00631199">
        <w:rPr>
          <w:rStyle w:val="HideTWBExt"/>
        </w:rPr>
        <w:t>&lt;/RepeatBlock-Amend&gt;</w:t>
      </w:r>
    </w:p>
    <w:sectPr w:rsidR="005C6490" w:rsidRPr="00631199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B0D8AE" w14:textId="77777777" w:rsidR="00000000" w:rsidRPr="00631199" w:rsidRDefault="00507EC7">
      <w:r w:rsidRPr="00631199">
        <w:separator/>
      </w:r>
    </w:p>
  </w:endnote>
  <w:endnote w:type="continuationSeparator" w:id="0">
    <w:p w14:paraId="47247B90" w14:textId="77777777" w:rsidR="00000000" w:rsidRPr="00631199" w:rsidRDefault="00507EC7">
      <w:r w:rsidRPr="006311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727CA" w14:textId="77777777" w:rsidR="002B6C00" w:rsidRDefault="002B6C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EAB6" w14:textId="77777777" w:rsidR="00631199" w:rsidRPr="00631199" w:rsidRDefault="00631199" w:rsidP="00631199">
    <w:pPr>
      <w:pStyle w:val="EPFooterRC"/>
    </w:pPr>
    <w:r w:rsidRPr="00631199">
      <w:rPr>
        <w:rStyle w:val="HideTWBExt"/>
      </w:rPr>
      <w:t>&lt;PathFdR&gt;</w:t>
    </w:r>
    <w:r w:rsidRPr="00631199">
      <w:t>AM\1316909PL.docx</w:t>
    </w:r>
    <w:r w:rsidRPr="00631199">
      <w:rPr>
        <w:rStyle w:val="HideTWBExt"/>
      </w:rPr>
      <w:t>&lt;/PathFdR&gt;</w:t>
    </w:r>
    <w:r w:rsidRPr="00631199">
      <w:tab/>
    </w:r>
    <w:r w:rsidRPr="00631199">
      <w:tab/>
      <w:t>PE</w:t>
    </w:r>
    <w:r w:rsidRPr="00631199">
      <w:rPr>
        <w:rStyle w:val="HideTWBExt"/>
      </w:rPr>
      <w:t>&lt;NoPE&gt;</w:t>
    </w:r>
    <w:r w:rsidRPr="00631199">
      <w:t>769.727</w:t>
    </w:r>
    <w:r w:rsidRPr="00631199">
      <w:rPr>
        <w:rStyle w:val="HideTWBExt"/>
      </w:rPr>
      <w:t>&lt;/NoPE&gt;&lt;Version&gt;</w:t>
    </w:r>
    <w:proofErr w:type="gramStart"/>
    <w:r w:rsidRPr="00631199">
      <w:t>v</w:t>
    </w:r>
    <w:proofErr w:type="gramEnd"/>
    <w:r w:rsidRPr="00631199">
      <w:t>01-00</w:t>
    </w:r>
    <w:r w:rsidRPr="00631199">
      <w:rPr>
        <w:rStyle w:val="HideTWBExt"/>
      </w:rPr>
      <w:t>&lt;/Version&gt;</w:t>
    </w:r>
    <w:r w:rsidRPr="00631199">
      <w:t xml:space="preserve"> }</w:t>
    </w:r>
  </w:p>
  <w:p w14:paraId="5645605F" w14:textId="77777777" w:rsidR="00631199" w:rsidRPr="00631199" w:rsidRDefault="00631199" w:rsidP="00631199">
    <w:pPr>
      <w:pStyle w:val="EPFooterRC"/>
    </w:pPr>
    <w:r w:rsidRPr="00631199">
      <w:tab/>
    </w:r>
    <w:r w:rsidRPr="00631199">
      <w:tab/>
      <w:t>PE</w:t>
    </w:r>
    <w:r w:rsidRPr="00631199">
      <w:rPr>
        <w:rStyle w:val="HideTWBExt"/>
      </w:rPr>
      <w:t>&lt;NoPE&gt;</w:t>
    </w:r>
    <w:r w:rsidRPr="00631199">
      <w:t>769.728</w:t>
    </w:r>
    <w:r w:rsidRPr="00631199">
      <w:rPr>
        <w:rStyle w:val="HideTWBExt"/>
      </w:rPr>
      <w:t>&lt;/NoPE&gt;&lt;Version&gt;</w:t>
    </w:r>
    <w:proofErr w:type="gramStart"/>
    <w:r w:rsidRPr="00631199">
      <w:t>v</w:t>
    </w:r>
    <w:proofErr w:type="gramEnd"/>
    <w:r w:rsidRPr="00631199">
      <w:t>01-00</w:t>
    </w:r>
    <w:r w:rsidRPr="00631199">
      <w:rPr>
        <w:rStyle w:val="HideTWBExt"/>
      </w:rPr>
      <w:t>&lt;/Version&gt;</w:t>
    </w:r>
    <w:r w:rsidRPr="00631199">
      <w:t xml:space="preserve"> }</w:t>
    </w:r>
  </w:p>
  <w:p w14:paraId="10E925B4" w14:textId="77777777" w:rsidR="00631199" w:rsidRPr="00631199" w:rsidRDefault="00631199" w:rsidP="00631199">
    <w:pPr>
      <w:pStyle w:val="EPFooterRC"/>
    </w:pPr>
    <w:r w:rsidRPr="00631199">
      <w:tab/>
    </w:r>
    <w:r w:rsidRPr="00631199">
      <w:tab/>
      <w:t>PE</w:t>
    </w:r>
    <w:r w:rsidRPr="00631199">
      <w:rPr>
        <w:rStyle w:val="HideTWBExt"/>
      </w:rPr>
      <w:t>&lt;NoPE&gt;</w:t>
    </w:r>
    <w:r w:rsidRPr="00631199">
      <w:t>769.729</w:t>
    </w:r>
    <w:r w:rsidRPr="00631199">
      <w:rPr>
        <w:rStyle w:val="HideTWBExt"/>
      </w:rPr>
      <w:t>&lt;/NoPE&gt;&lt;Version&gt;</w:t>
    </w:r>
    <w:proofErr w:type="gramStart"/>
    <w:r w:rsidRPr="00631199">
      <w:t>v</w:t>
    </w:r>
    <w:proofErr w:type="gramEnd"/>
    <w:r w:rsidRPr="00631199">
      <w:t>01-00</w:t>
    </w:r>
    <w:r w:rsidRPr="00631199">
      <w:rPr>
        <w:rStyle w:val="HideTWBExt"/>
      </w:rPr>
      <w:t>&lt;/Version&gt;</w:t>
    </w:r>
    <w:r w:rsidRPr="00631199">
      <w:t xml:space="preserve"> }</w:t>
    </w:r>
  </w:p>
  <w:p w14:paraId="5DBE07FC" w14:textId="77777777" w:rsidR="00631199" w:rsidRPr="00631199" w:rsidRDefault="00631199" w:rsidP="00631199">
    <w:pPr>
      <w:pStyle w:val="EPFooterRC"/>
    </w:pPr>
    <w:r w:rsidRPr="00631199">
      <w:tab/>
    </w:r>
    <w:r w:rsidRPr="00631199">
      <w:tab/>
      <w:t>PE</w:t>
    </w:r>
    <w:r w:rsidRPr="00631199">
      <w:rPr>
        <w:rStyle w:val="HideTWBExt"/>
      </w:rPr>
      <w:t>&lt;NoPE&gt;</w:t>
    </w:r>
    <w:r w:rsidRPr="00631199">
      <w:t>769.730</w:t>
    </w:r>
    <w:r w:rsidRPr="00631199">
      <w:rPr>
        <w:rStyle w:val="HideTWBExt"/>
      </w:rPr>
      <w:t>&lt;/NoPE&gt;&lt;Version&gt;</w:t>
    </w:r>
    <w:proofErr w:type="gramStart"/>
    <w:r w:rsidRPr="00631199">
      <w:t>v</w:t>
    </w:r>
    <w:proofErr w:type="gramEnd"/>
    <w:r w:rsidRPr="00631199">
      <w:t>01-00</w:t>
    </w:r>
    <w:r w:rsidRPr="00631199">
      <w:rPr>
        <w:rStyle w:val="HideTWBExt"/>
      </w:rPr>
      <w:t>&lt;/Version&gt;</w:t>
    </w:r>
    <w:r w:rsidRPr="00631199">
      <w:t xml:space="preserve"> }</w:t>
    </w:r>
  </w:p>
  <w:p w14:paraId="5BFF20CC" w14:textId="77777777" w:rsidR="00631199" w:rsidRPr="00631199" w:rsidRDefault="00631199" w:rsidP="00631199">
    <w:pPr>
      <w:pStyle w:val="EPFooterRC"/>
    </w:pPr>
    <w:r w:rsidRPr="00631199">
      <w:tab/>
    </w:r>
    <w:r w:rsidRPr="00631199">
      <w:tab/>
      <w:t>PE</w:t>
    </w:r>
    <w:r w:rsidRPr="00631199">
      <w:rPr>
        <w:rStyle w:val="HideTWBExt"/>
      </w:rPr>
      <w:t>&lt;NoPE&gt;</w:t>
    </w:r>
    <w:r w:rsidRPr="00631199">
      <w:t>769.731</w:t>
    </w:r>
    <w:r w:rsidRPr="00631199">
      <w:rPr>
        <w:rStyle w:val="HideTWBExt"/>
      </w:rPr>
      <w:t>&lt;/NoPE&gt;&lt;Version&gt;</w:t>
    </w:r>
    <w:proofErr w:type="gramStart"/>
    <w:r w:rsidRPr="00631199">
      <w:t>v</w:t>
    </w:r>
    <w:proofErr w:type="gramEnd"/>
    <w:r w:rsidRPr="00631199">
      <w:t>01-00</w:t>
    </w:r>
    <w:r w:rsidRPr="00631199">
      <w:rPr>
        <w:rStyle w:val="HideTWBExt"/>
      </w:rPr>
      <w:t>&lt;/Version&gt;</w:t>
    </w:r>
    <w:r w:rsidRPr="00631199">
      <w:t xml:space="preserve"> } RC1</w:t>
    </w:r>
  </w:p>
  <w:p w14:paraId="071E724A" w14:textId="54643639" w:rsidR="005C6490" w:rsidRPr="00631199" w:rsidRDefault="00631199" w:rsidP="00631199">
    <w:pPr>
      <w:pStyle w:val="EPFooter2"/>
    </w:pPr>
    <w:r w:rsidRPr="00631199">
      <w:t>PL</w:t>
    </w:r>
    <w:r w:rsidRPr="00631199">
      <w:tab/>
    </w:r>
    <w:r w:rsidRPr="00631199">
      <w:rPr>
        <w:b w:val="0"/>
        <w:i/>
        <w:color w:val="C0C0C0"/>
        <w:sz w:val="22"/>
      </w:rPr>
      <w:t>Zjednoczona w różnorodności</w:t>
    </w:r>
    <w:r w:rsidRPr="00631199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C63FD" w14:textId="77777777" w:rsidR="002B6C00" w:rsidRDefault="002B6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632ED" w14:textId="77777777" w:rsidR="00000000" w:rsidRPr="00631199" w:rsidRDefault="00507EC7">
      <w:r w:rsidRPr="00631199">
        <w:separator/>
      </w:r>
    </w:p>
  </w:footnote>
  <w:footnote w:type="continuationSeparator" w:id="0">
    <w:p w14:paraId="128A70D2" w14:textId="77777777" w:rsidR="00000000" w:rsidRPr="00631199" w:rsidRDefault="00507EC7">
      <w:r w:rsidRPr="006311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7F60E2" w14:textId="77777777" w:rsidR="002B6C00" w:rsidRDefault="002B6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8954A" w14:textId="77777777" w:rsidR="002B6C00" w:rsidRDefault="002B6C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D7326" w14:textId="77777777" w:rsidR="002B6C00" w:rsidRDefault="002B6C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9524C"/>
    <w:rsid w:val="002B6C00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07EC7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31199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91476E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1527</Words>
  <Characters>10011</Characters>
  <Application>Microsoft Office Word</Application>
  <DocSecurity>0</DocSecurity>
  <Lines>423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WOJCIECHOWSKA Joanna</cp:lastModifiedBy>
  <cp:revision>2</cp:revision>
  <cp:lastPrinted>2025-03-11T10:05:00Z</cp:lastPrinted>
  <dcterms:created xsi:type="dcterms:W3CDTF">2025-03-11T18:05:00Z</dcterms:created>
  <dcterms:modified xsi:type="dcterms:W3CDTF">2025-03-11T18:05:00Z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19:05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AM\1316909PL.docx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