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712800" w:rsidRDefault="00712800" w:rsidP="00B41B8B">
      <w:pPr>
        <w:pStyle w:val="AmDateTabRC"/>
      </w:pPr>
      <w:bookmarkStart w:id="0" w:name="_GoBack"/>
      <w:bookmarkEnd w:id="0"/>
      <w:r w:rsidRPr="00712800">
        <w:rPr>
          <w:rStyle w:val="HideTWBExt"/>
        </w:rPr>
        <w:t>&lt;RepeatBlock-Amend&gt;</w:t>
      </w:r>
      <w:bookmarkStart w:id="1" w:name="restart"/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5B949FBF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FC15816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75D429E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FD1A6B3" w14:textId="4446001B" w:rsidR="006B7EE0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50</w:t>
      </w:r>
      <w:r w:rsidRPr="00712800">
        <w:rPr>
          <w:rStyle w:val="HideTWBExt"/>
        </w:rPr>
        <w:t>&lt;/NumAm&gt;</w:t>
      </w:r>
    </w:p>
    <w:p w14:paraId="28F5122C" w14:textId="3DC3A5E1" w:rsidR="00C437B9" w:rsidRPr="00712800" w:rsidRDefault="00712800" w:rsidP="00C437B9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50</w:t>
      </w:r>
      <w:r w:rsidRPr="00712800">
        <w:rPr>
          <w:rStyle w:val="HideTWBExt"/>
          <w:b w:val="0"/>
        </w:rPr>
        <w:t>&lt;/NumAm&gt;</w:t>
      </w:r>
    </w:p>
    <w:p w14:paraId="5CC6E040" w14:textId="34DA32F7" w:rsidR="009F6CB7" w:rsidRPr="00712800" w:rsidRDefault="00712800" w:rsidP="009F6CB7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Lynn Boylan, Marc Botenga, Luke Ming Flanagan</w:t>
      </w:r>
      <w:r w:rsidRPr="00712800">
        <w:rPr>
          <w:rStyle w:val="HideTWBExt"/>
          <w:b w:val="0"/>
        </w:rPr>
        <w:t>&lt;/Members&gt;</w:t>
      </w:r>
    </w:p>
    <w:p w14:paraId="5495CEEA" w14:textId="15B90C19" w:rsidR="009F6CB7" w:rsidRPr="00712800" w:rsidRDefault="00712800" w:rsidP="009F6CB7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122FD4C8" w14:textId="77777777" w:rsidR="009F6CB7" w:rsidRPr="00712800" w:rsidRDefault="00712800" w:rsidP="009F6CB7">
      <w:r w:rsidRPr="00712800">
        <w:rPr>
          <w:rStyle w:val="HideTWBExt"/>
        </w:rPr>
        <w:t>&lt;/RepeatBlock-By&gt;</w:t>
      </w:r>
    </w:p>
    <w:p w14:paraId="5002B41A" w14:textId="77777777" w:rsidR="009F6CB7" w:rsidRPr="00712800" w:rsidRDefault="00712800" w:rsidP="009F6CB7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12C4332C" w14:textId="7E31489C" w:rsidR="003A0922" w:rsidRPr="00712800" w:rsidRDefault="00712800" w:rsidP="003A0922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0BEBDDC7" w14:textId="2268547D" w:rsidR="009F6CB7" w:rsidRPr="00712800" w:rsidRDefault="00712800" w:rsidP="003857B7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72A7D702" w14:textId="77777777" w:rsidR="009F6CB7" w:rsidRPr="00712800" w:rsidRDefault="00712800" w:rsidP="009F6CB7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2BF05F04" w14:textId="01E0D95B" w:rsidR="009F6CB7" w:rsidRPr="00712800" w:rsidRDefault="00712800" w:rsidP="009F6CB7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5-B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712800" w:rsidRDefault="009F6CB7" w:rsidP="00650345">
            <w:pPr>
              <w:keepNext/>
            </w:pPr>
          </w:p>
        </w:tc>
      </w:tr>
      <w:tr w:rsidR="00383F53" w:rsidRPr="00712800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712800" w:rsidRDefault="00712800" w:rsidP="00650345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6965CD17" w14:textId="77777777" w:rsidR="009F6CB7" w:rsidRPr="00712800" w:rsidRDefault="00712800" w:rsidP="00650345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712800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712800" w:rsidRDefault="00712800" w:rsidP="008949A5">
            <w:pPr>
              <w:pStyle w:val="Normal6a"/>
              <w:rPr>
                <w:szCs w:val="24"/>
              </w:rPr>
            </w:pPr>
            <w:r w:rsidRPr="00712800">
              <w:rPr>
                <w:b/>
                <w:i/>
              </w:rPr>
              <w:t>5-B.</w:t>
            </w:r>
            <w:r w:rsidRPr="00712800">
              <w:tab/>
            </w:r>
            <w:r w:rsidRPr="00712800">
              <w:rPr>
                <w:b/>
                <w:i/>
                <w:shd w:val="clear" w:color="auto" w:fill="FFFFFF"/>
              </w:rPr>
              <w:t xml:space="preserve">Recorda que a OTAN e a UE são organizações distintas que servem objetivos muito diferentes e que nem sequer têm membros idênticos; </w:t>
            </w:r>
            <w:r w:rsidRPr="00712800">
              <w:rPr>
                <w:b/>
                <w:i/>
              </w:rPr>
              <w:t>lamenta a confluência da OTAN, uma aliança militar, com a UE;</w:t>
            </w:r>
          </w:p>
        </w:tc>
      </w:tr>
    </w:tbl>
    <w:p w14:paraId="1E7C2387" w14:textId="77777777" w:rsidR="009F6CB7" w:rsidRPr="00712800" w:rsidRDefault="00712800" w:rsidP="009F6CB7">
      <w:pPr>
        <w:pStyle w:val="AmOrLang"/>
      </w:pPr>
      <w:r w:rsidRPr="00712800">
        <w:t xml:space="preserve">Or. </w:t>
      </w:r>
      <w:r w:rsidRPr="00712800">
        <w:rPr>
          <w:rStyle w:val="HideTWBExt"/>
        </w:rPr>
        <w:t>&lt;Original&gt;</w:t>
      </w:r>
      <w:r w:rsidR="004C35EC" w:rsidRPr="00712800">
        <w:rPr>
          <w:rStyle w:val="HideTWBInt"/>
        </w:rPr>
        <w:t>{EN}</w:t>
      </w:r>
      <w:r w:rsidR="004C35EC" w:rsidRPr="00712800">
        <w:t>en</w:t>
      </w:r>
      <w:r w:rsidRPr="00712800">
        <w:rPr>
          <w:rStyle w:val="HideTWBExt"/>
        </w:rPr>
        <w:t>&lt;/Original&gt;</w:t>
      </w:r>
    </w:p>
    <w:p w14:paraId="1B6BBEFF" w14:textId="77777777" w:rsidR="005C6490" w:rsidRPr="00712800" w:rsidRDefault="00712800" w:rsidP="005C6490">
      <w:pPr>
        <w:tabs>
          <w:tab w:val="left" w:pos="-720"/>
        </w:tabs>
      </w:pPr>
      <w:r w:rsidRPr="00712800">
        <w:br w:type="page"/>
      </w:r>
      <w:r w:rsidRPr="00712800">
        <w:rPr>
          <w:rStyle w:val="HideTWBExt"/>
        </w:rPr>
        <w:t>&lt;/Amend&gt;</w:t>
      </w:r>
      <w:bookmarkEnd w:id="1"/>
    </w:p>
    <w:p w14:paraId="0F8B0505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lastRenderedPageBreak/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34C5620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0290E424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0B8CFCBE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AC8B954" w14:textId="3E3145A2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51</w:t>
      </w:r>
      <w:r w:rsidRPr="00712800">
        <w:rPr>
          <w:rStyle w:val="HideTWBExt"/>
        </w:rPr>
        <w:t>&lt;/NumAm&gt;</w:t>
      </w:r>
    </w:p>
    <w:p w14:paraId="417A8DBE" w14:textId="2AFE39B9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51</w:t>
      </w:r>
      <w:r w:rsidRPr="00712800">
        <w:rPr>
          <w:rStyle w:val="HideTWBExt"/>
          <w:b w:val="0"/>
        </w:rPr>
        <w:t>&lt;/NumAm&gt;</w:t>
      </w:r>
    </w:p>
    <w:p w14:paraId="159C9276" w14:textId="37518E95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Marc Botenga, João Oliveira</w:t>
      </w:r>
      <w:r w:rsidRPr="00712800">
        <w:rPr>
          <w:rStyle w:val="HideTWBExt"/>
          <w:b w:val="0"/>
        </w:rPr>
        <w:t>&lt;/Members&gt;</w:t>
      </w:r>
    </w:p>
    <w:p w14:paraId="32AB6394" w14:textId="45CADFAC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7417ECC5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54E330C2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2AD27199" w14:textId="1FE25B13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665CBC5E" w14:textId="4C485583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0EB34E6C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0FD44AC5" w14:textId="17168086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6-A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712800" w:rsidRDefault="004C35EC" w:rsidP="00650345">
            <w:pPr>
              <w:keepNext/>
            </w:pPr>
          </w:p>
        </w:tc>
      </w:tr>
      <w:tr w:rsidR="00383F53" w:rsidRPr="00712800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712800" w:rsidRDefault="00712800" w:rsidP="00650345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2E929537" w14:textId="77777777" w:rsidR="004C35EC" w:rsidRPr="00712800" w:rsidRDefault="00712800" w:rsidP="00650345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712800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712800" w:rsidRDefault="00712800" w:rsidP="005A7FE9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</w:rPr>
              <w:t>6-A.</w:t>
            </w:r>
            <w:r w:rsidRPr="00712800">
              <w:rPr>
                <w:b/>
                <w:i/>
              </w:rPr>
              <w:tab/>
              <w:t xml:space="preserve">Manifesta a sua profunda preocupação pelo facto de as despesas militares globais continuarem a aumentar para novos níveis recorde; salienta que uma corrida ao armamento não criará segurança para os cidadãos europeus, mas aumentará, em consonância com o dilema de segurança, o risco de conflitos violentos; insta a Comissão a promover ativamente novos tratados de controlo do armamento; </w:t>
            </w:r>
          </w:p>
        </w:tc>
      </w:tr>
    </w:tbl>
    <w:p w14:paraId="6363F18C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0C368691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22D52213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lastRenderedPageBreak/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588EB9F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50C41FDB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0F070062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1AA671B1" w14:textId="4178FACC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52</w:t>
      </w:r>
      <w:r w:rsidRPr="00712800">
        <w:rPr>
          <w:rStyle w:val="HideTWBExt"/>
        </w:rPr>
        <w:t>&lt;/NumAm&gt;</w:t>
      </w:r>
    </w:p>
    <w:p w14:paraId="7E644EB7" w14:textId="4C425A0C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52</w:t>
      </w:r>
      <w:r w:rsidRPr="00712800">
        <w:rPr>
          <w:rStyle w:val="HideTWBExt"/>
          <w:b w:val="0"/>
        </w:rPr>
        <w:t>&lt;/NumAm&gt;</w:t>
      </w:r>
    </w:p>
    <w:p w14:paraId="692CC441" w14:textId="533AD984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Lynn Boylan, Marc Botenga, Hanna Gedin, Jonas Sjöstedt</w:t>
      </w:r>
      <w:r w:rsidRPr="00712800">
        <w:rPr>
          <w:rStyle w:val="HideTWBExt"/>
          <w:b w:val="0"/>
        </w:rPr>
        <w:t>&lt;/Members&gt;</w:t>
      </w:r>
    </w:p>
    <w:p w14:paraId="7571E287" w14:textId="25B9B0C0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2D0C4AFB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4BA5556D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20CB1310" w14:textId="230C51B6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29A705D6" w14:textId="26028AB8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07979EFD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5EBB04E2" w14:textId="64D3760B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14-A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1FCFBAE7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712800" w:rsidRDefault="00712800" w:rsidP="009F6FC0">
            <w:pPr>
              <w:pStyle w:val="Normal6a"/>
            </w:pPr>
            <w:r w:rsidRPr="00712800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712800" w:rsidRDefault="00712800" w:rsidP="008949A5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</w:rPr>
              <w:t>14-A.</w:t>
            </w:r>
            <w:r w:rsidRPr="00712800">
              <w:rPr>
                <w:b/>
                <w:i/>
              </w:rPr>
              <w:tab/>
              <w:t>Recorda as medidas provisórias decretadas pelo Tribunal Internacional de Justiça (TIJ) no que se refere à aplicação da Convenção para a Prevenção e Repressão do Crime de Genocídio na Faixa de Gaza (África do Sul contra Israel),  salienta a necessidade de o direito internacional ser cumprido e respeitado; insta o Conselho e a Comissão a assegurarem que a UE não seja de forma alguma cúmplice em violações do direito internacional, nomeadamente ao abrigo da Convenção para a Prevenção e Repressão do Crime de Genocídio, em particular no que diz respeito ao papel da indústria de armamento europeia no fornecimento de armas às Forças de Defesa israelitas;</w:t>
            </w:r>
          </w:p>
        </w:tc>
      </w:tr>
    </w:tbl>
    <w:p w14:paraId="644C68AC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62587EE0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780842E5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FFB3E21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148B6A68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437DD958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4E07DC56" w14:textId="26AD9DA4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53</w:t>
      </w:r>
      <w:r w:rsidRPr="00712800">
        <w:rPr>
          <w:rStyle w:val="HideTWBExt"/>
        </w:rPr>
        <w:t>&lt;/NumAm&gt;</w:t>
      </w:r>
    </w:p>
    <w:p w14:paraId="1E9CA124" w14:textId="1C7A749E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53</w:t>
      </w:r>
      <w:r w:rsidRPr="00712800">
        <w:rPr>
          <w:rStyle w:val="HideTWBExt"/>
          <w:b w:val="0"/>
        </w:rPr>
        <w:t>&lt;/NumAm&gt;</w:t>
      </w:r>
    </w:p>
    <w:p w14:paraId="79DEAA02" w14:textId="73EDABDB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Jonas Sjöstedt, Hanna Gedin</w:t>
      </w:r>
      <w:r w:rsidRPr="00712800">
        <w:rPr>
          <w:rStyle w:val="HideTWBExt"/>
          <w:b w:val="0"/>
        </w:rPr>
        <w:t>&lt;/Members&gt;</w:t>
      </w:r>
    </w:p>
    <w:p w14:paraId="6E2CF6F3" w14:textId="2BCB4EB6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4E0ABB97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0CCB7EAE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75C77F1F" w14:textId="4729A1D6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0164C505" w14:textId="4657DA25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11E714EE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691AA635" w14:textId="0893AD6F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15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476F53BD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712800" w:rsidRDefault="00712800" w:rsidP="009F6FC0">
            <w:pPr>
              <w:pStyle w:val="Normal6a"/>
            </w:pPr>
            <w:r w:rsidRPr="00712800">
              <w:t>15.</w:t>
            </w:r>
            <w:r w:rsidRPr="00712800">
              <w:tab/>
              <w:t>Solicita com veemência à UE e aos seus Estados-Membros que apoiem firmemente a Ucrânia; recorda a sua convicção de que é nos campos de batalha ucranianos que o futuro da Europa se decidirá e que a trajetória da guerra levada a cabo pela Rússia contra a Ucrânia será alterada de forma decisiva; sublinha que essa mudança de trajetória depende agora quase inteiramente da Europa; exorta, por conseguinte, os Estados-Membros a fornecerem mais armas e munições à Ucrânia antes da conclusão das negociações;  adverte que, se a UE falhar no seu apoio e se a Ucrânia for forçada a render-se, a Rússia voltar-se-á contra outros países, incluindo possivelmente Estados-Membros da UE;  convida os Estados-Membros da UE, os parceiros internacionais e os aliados da NATO a levantarem todas as restrições à utilização de sistemas de armamento ocidentais entregues à Ucrânia contra alvos militares em território russo;  insta a UE e os seus Estados-Membros a trabalharem ativamente com vista a granjear e manter o mais amplo apoio internacional possível à Ucrânia e a encontrar uma solução pacífica para a guerra, a qual deve basear-se no pleno respeito pela independência, soberania e integridade territorial da Ucrânia, nos princípios do direito internacional e na responsabilização pelos crimes de guerra e o crime de agressão, e a garantirem que a Rússia pague indemnizações para compensar os enormes danos causados na Ucrânia;  solicita à UE e aos seus Estados-Membros que participem na criação de garantias de segurança futuras sólidas para a Ucrânia;</w:t>
            </w:r>
          </w:p>
        </w:tc>
        <w:tc>
          <w:tcPr>
            <w:tcW w:w="4876" w:type="dxa"/>
          </w:tcPr>
          <w:p w14:paraId="40BA5FDF" w14:textId="4997B8FF" w:rsidR="00E946DC" w:rsidRPr="00712800" w:rsidRDefault="00712800" w:rsidP="004E6BC0">
            <w:pPr>
              <w:pStyle w:val="Normal6a"/>
              <w:rPr>
                <w:szCs w:val="24"/>
              </w:rPr>
            </w:pPr>
            <w:r w:rsidRPr="00712800">
              <w:rPr>
                <w:rStyle w:val="Aucun"/>
              </w:rPr>
              <w:t>15.</w:t>
            </w:r>
            <w:r w:rsidRPr="00712800">
              <w:rPr>
                <w:rStyle w:val="Aucun"/>
              </w:rPr>
              <w:tab/>
              <w:t xml:space="preserve">Solicita com veemência à UE e aos seus Estados-Membros que apoiem firmemente a Ucrânia; recorda a sua convicção de que é nos campos de batalha ucranianos que o futuro da Europa se decidirá e que a trajetória da guerra levada a cabo pela Rússia contra a Ucrânia será alterada de forma decisiva; sublinha que essa mudança de trajetória depende agora quase inteiramente da Europa; exorta, por conseguinte, os Estados-Membros a fornecerem mais armas e munições à Ucrânia antes da conclusão das negociações; adverte que, se a UE falhar no seu apoio e se a Ucrânia for forçada a render-se, a Rússia voltar-se-á contra outros países, incluindo possivelmente Estados-Membros da UE; convida os Estados-Membros da UE, os parceiros internacionais e os aliados da NATO a levantarem todas as restrições à utilização de sistemas de armamento ocidentais entregues à Ucrânia contra alvos militares em território russo; insta a UE e os seus Estados-Membros a trabalharem ativamente com vista a granjear e manter o mais amplo apoio internacional possível à Ucrânia e a encontrar uma solução pacífica para a guerra, a qual deve basear-se no pleno respeito pela independência, soberania e integridade territorial da Ucrânia, nos princípios do direito internacional e na responsabilização pelos crimes de guerra e o crime de agressão, e a garantirem que a Rússia pague indemnizações para compensar os enormes danos causados na Ucrânia; solicita à UE e aos seus Estados-Membros que participem na criação de garantias de segurança futuras sólidas para a Ucrânia; </w:t>
            </w:r>
            <w:r w:rsidRPr="00712800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insta a UE e os seus Estados-Membros a apoiarem, sem hesitação, o direito internacional e a ordem mundial assente em regras; recorda, a este respeito, a investigação em curso sobre as atrocidades perpetradas por Israel contra a população palestiniana; sublinha que o direito internacional é fundamental para a segurança europeia; reitera o seu apoio ao TIJ, ao Tribunal Penal Internacional e a outros organismos internacionais na investigação de crimes contra a humanidade e crimes de guerra;</w:t>
            </w:r>
            <w:r w:rsidRPr="00712800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7DAEE57F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39A72ACE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5D21E971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9056E43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063F4DA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5B53A6A" w14:textId="16252CE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54</w:t>
      </w:r>
      <w:r w:rsidRPr="00712800">
        <w:rPr>
          <w:rStyle w:val="HideTWBExt"/>
        </w:rPr>
        <w:t>&lt;/NumAm&gt;</w:t>
      </w:r>
    </w:p>
    <w:p w14:paraId="448EF1F0" w14:textId="2CB0D1D7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54</w:t>
      </w:r>
      <w:r w:rsidRPr="00712800">
        <w:rPr>
          <w:rStyle w:val="HideTWBExt"/>
          <w:b w:val="0"/>
        </w:rPr>
        <w:t>&lt;/NumAm&gt;</w:t>
      </w:r>
    </w:p>
    <w:p w14:paraId="3AE460B9" w14:textId="3C817972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Jonas Sjöstedt, Hanna Gedin</w:t>
      </w:r>
      <w:r w:rsidRPr="00712800">
        <w:rPr>
          <w:rStyle w:val="HideTWBExt"/>
          <w:b w:val="0"/>
        </w:rPr>
        <w:t>&lt;/Members&gt;</w:t>
      </w:r>
    </w:p>
    <w:p w14:paraId="665F7F8F" w14:textId="185EC328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78AD6F6E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3098D10A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71982CB2" w14:textId="0A620F46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75F78E1D" w14:textId="7C6E1D1F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3513ECA4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586A1E07" w14:textId="6C76AC23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15-A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010D2BD7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712800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712800" w:rsidRDefault="00712800" w:rsidP="005A7FE9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</w:rPr>
              <w:t>15-A.</w:t>
            </w:r>
            <w:r w:rsidRPr="00712800">
              <w:rPr>
                <w:b/>
                <w:i/>
              </w:rPr>
              <w:tab/>
            </w:r>
            <w:r w:rsidRPr="00712800">
              <w:rPr>
                <w:b/>
                <w:i/>
                <w:shd w:val="clear" w:color="auto" w:fill="FFFFFF"/>
              </w:rPr>
              <w:t>Congratula-se com o facto de vários Estados-Membros apoiarem o plano egípcio para a reconstrução de Gaza; insta a Comissão a apoiar a execução do plano; reitera que uma solução negociada assente na coexistência de dois Estados, ao abrigo da qual palestinianos e israelitas possam viver em coexistência pacífica, depende de uma sociedade palestiniana reconstruída e viável; reconhece que a comunidade mundial é fundamental para a reconstrução de Gaza; reitera que a segurança europeia está totalmente interligada com o respeito pelo direito internacional e com soluções pacíficas para os conflitos nas nossas imediações;</w:t>
            </w:r>
          </w:p>
        </w:tc>
      </w:tr>
    </w:tbl>
    <w:p w14:paraId="145420FB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7A81EBF0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65453D36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2C4A3788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6411A00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A8F3150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263B68F" w14:textId="1344641C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55</w:t>
      </w:r>
      <w:r w:rsidRPr="00712800">
        <w:rPr>
          <w:rStyle w:val="HideTWBExt"/>
        </w:rPr>
        <w:t>&lt;/NumAm&gt;</w:t>
      </w:r>
    </w:p>
    <w:p w14:paraId="265F6664" w14:textId="745C9F56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55</w:t>
      </w:r>
      <w:r w:rsidRPr="00712800">
        <w:rPr>
          <w:rStyle w:val="HideTWBExt"/>
          <w:b w:val="0"/>
        </w:rPr>
        <w:t>&lt;/NumAm&gt;</w:t>
      </w:r>
    </w:p>
    <w:p w14:paraId="34E7C705" w14:textId="68702FA3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Jonas Sjöstedt, Hanna Gedin</w:t>
      </w:r>
      <w:r w:rsidRPr="00712800">
        <w:rPr>
          <w:rStyle w:val="HideTWBExt"/>
          <w:b w:val="0"/>
        </w:rPr>
        <w:t>&lt;/Members&gt;</w:t>
      </w:r>
    </w:p>
    <w:p w14:paraId="3ACAE99A" w14:textId="4D7F3971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15708A2C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19716991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2EEBA044" w14:textId="00DB8A7F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20701A36" w14:textId="75D797AE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07AA445D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2A0D66D9" w14:textId="3AA667C8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20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07E37E27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712800" w:rsidRDefault="00712800" w:rsidP="009F6FC0">
            <w:pPr>
              <w:pStyle w:val="Normal6a"/>
            </w:pPr>
            <w:r w:rsidRPr="00712800">
              <w:t>20.</w:t>
            </w:r>
            <w:r w:rsidRPr="00712800">
              <w:tab/>
            </w:r>
            <w:r w:rsidRPr="00712800">
              <w:rPr>
                <w:rStyle w:val="Aucun"/>
              </w:rPr>
              <w:t>Exorta o Conselho e os Estados-Membros a reverem e reforçarem a aplicação das sanções em vigor, bem como a adotarem e aplicarem rigorosamente medidas restritivas contra todas as entidades e países terceiros que facilitem a evasão às sanções ao fornecerem ao complexo militar russo tecnologias e equipamentos militares e de dupla utilização;</w:t>
            </w:r>
          </w:p>
        </w:tc>
        <w:tc>
          <w:tcPr>
            <w:tcW w:w="4876" w:type="dxa"/>
          </w:tcPr>
          <w:p w14:paraId="443282E8" w14:textId="6723D69E" w:rsidR="00CD6B1C" w:rsidRPr="00712800" w:rsidRDefault="00712800" w:rsidP="004B4D8C">
            <w:pPr>
              <w:pStyle w:val="Normal6a"/>
              <w:rPr>
                <w:b/>
                <w:i/>
                <w:szCs w:val="24"/>
              </w:rPr>
            </w:pPr>
            <w:r w:rsidRPr="00712800">
              <w:t>20.</w:t>
            </w:r>
            <w:r w:rsidRPr="00712800">
              <w:rPr>
                <w:b/>
                <w:i/>
              </w:rPr>
              <w:tab/>
            </w:r>
            <w:r w:rsidRPr="00712800">
              <w:rPr>
                <w:rStyle w:val="Aucun"/>
              </w:rPr>
              <w:t xml:space="preserve">Exorta o Conselho e os Estados-Membros a reverem e reforçarem a aplicação das sanções em vigor, bem como a adotarem e aplicarem rigorosamente medidas restritivas contra todas as entidades e países terceiros que facilitem a evasão às sanções ao fornecerem ao complexo militar russo tecnologias e equipamentos militares e de dupla utilização; </w:t>
            </w:r>
            <w:r w:rsidRPr="00712800">
              <w:rPr>
                <w:rStyle w:val="Aucun"/>
                <w:b/>
                <w:i/>
              </w:rPr>
              <w:t xml:space="preserve">insta os Estados-Membros a prestarem especial atenção à </w:t>
            </w:r>
            <w:r w:rsidR="006D5841">
              <w:rPr>
                <w:rStyle w:val="Aucun"/>
                <w:b/>
                <w:i/>
              </w:rPr>
              <w:br/>
            </w:r>
            <w:r w:rsidRPr="00712800">
              <w:rPr>
                <w:rStyle w:val="Aucun"/>
                <w:b/>
                <w:i/>
              </w:rPr>
              <w:t>frota-fantasma russa e aos riscos para a segurança e o ambiente que tal representa;</w:t>
            </w:r>
          </w:p>
        </w:tc>
      </w:tr>
    </w:tbl>
    <w:p w14:paraId="6228DB46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5470FF98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0E0A4B08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BED1918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11E8877C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20A26AC1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11E62543" w14:textId="3F3C7DC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56</w:t>
      </w:r>
      <w:r w:rsidRPr="00712800">
        <w:rPr>
          <w:rStyle w:val="HideTWBExt"/>
        </w:rPr>
        <w:t>&lt;/NumAm&gt;</w:t>
      </w:r>
    </w:p>
    <w:p w14:paraId="45304931" w14:textId="2DAE86AC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56</w:t>
      </w:r>
      <w:r w:rsidRPr="00712800">
        <w:rPr>
          <w:rStyle w:val="HideTWBExt"/>
          <w:b w:val="0"/>
        </w:rPr>
        <w:t>&lt;/NumAm&gt;</w:t>
      </w:r>
    </w:p>
    <w:p w14:paraId="6874AC13" w14:textId="5782852E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Marc Botenga</w:t>
      </w:r>
      <w:r w:rsidRPr="00712800">
        <w:rPr>
          <w:rStyle w:val="HideTWBExt"/>
          <w:b w:val="0"/>
        </w:rPr>
        <w:t>&lt;/Members&gt;</w:t>
      </w:r>
    </w:p>
    <w:p w14:paraId="5EFA357C" w14:textId="2C089841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3FE2B50E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7748C036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3D02C790" w14:textId="6B5F54AA" w:rsidR="004C35EC" w:rsidRPr="006D5841" w:rsidRDefault="00712800" w:rsidP="004C35EC">
      <w:pPr>
        <w:pStyle w:val="NormalBold"/>
        <w:rPr>
          <w:noProof/>
          <w:lang w:val="en-GB"/>
        </w:rPr>
      </w:pPr>
      <w:r w:rsidRPr="006D5841">
        <w:rPr>
          <w:rStyle w:val="HideTWBExt"/>
          <w:b w:val="0"/>
          <w:lang w:val="en-GB"/>
        </w:rPr>
        <w:t>&lt;Rapporteur&gt;</w:t>
      </w:r>
      <w:r w:rsidRPr="006D5841">
        <w:rPr>
          <w:lang w:val="en-GB"/>
        </w:rPr>
        <w:t>PPE, S&amp;D, ECR, Renew, The Left</w:t>
      </w:r>
      <w:r w:rsidRPr="006D5841">
        <w:rPr>
          <w:rStyle w:val="HideTWBExt"/>
          <w:b w:val="0"/>
          <w:lang w:val="en-GB"/>
        </w:rPr>
        <w:t>&lt;/Rapporteur&gt;</w:t>
      </w:r>
    </w:p>
    <w:p w14:paraId="2EAEA12D" w14:textId="7475C616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7C6A0839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0ACA5A7C" w14:textId="3FD3B601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22-A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1FF1EBD5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712800" w:rsidRDefault="00712800" w:rsidP="009F6FC0">
            <w:pPr>
              <w:pStyle w:val="Normal6a"/>
            </w:pPr>
            <w:r w:rsidRPr="00712800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712800" w:rsidRDefault="00712800" w:rsidP="0042635B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</w:rPr>
              <w:t>22-A.</w:t>
            </w:r>
            <w:r w:rsidRPr="00712800">
              <w:rPr>
                <w:b/>
                <w:i/>
              </w:rPr>
              <w:tab/>
              <w:t>Insta os Estados-Membros a desenvolverem uma nova arquitetura de segurança coletiva a longo prazo para a Europa, inspirada nos princípios do processo de Helsínquia e incluindo o conceito de garantias mútuas de segurança; assinala que um aspeto fundamental desta abordagem é o respeito pela soberania e integridade territorial de todas as nações e um compromisso assumido para com o direito internacional;</w:t>
            </w:r>
          </w:p>
        </w:tc>
      </w:tr>
      <w:tr w:rsidR="00383F53" w:rsidRPr="00712800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712800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712800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76900BF3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0F27557A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306E7E2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AFABCA4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023BD04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6170969" w14:textId="378E0E74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57</w:t>
      </w:r>
      <w:r w:rsidRPr="00712800">
        <w:rPr>
          <w:rStyle w:val="HideTWBExt"/>
        </w:rPr>
        <w:t>&lt;/NumAm&gt;</w:t>
      </w:r>
    </w:p>
    <w:p w14:paraId="1CD0DB83" w14:textId="36BC1E03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57</w:t>
      </w:r>
      <w:r w:rsidRPr="00712800">
        <w:rPr>
          <w:rStyle w:val="HideTWBExt"/>
          <w:b w:val="0"/>
        </w:rPr>
        <w:t>&lt;/NumAm&gt;</w:t>
      </w:r>
    </w:p>
    <w:p w14:paraId="1381E651" w14:textId="653D212B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Marc Botenga, João Oliveira</w:t>
      </w:r>
      <w:r w:rsidRPr="00712800">
        <w:rPr>
          <w:rStyle w:val="HideTWBExt"/>
          <w:b w:val="0"/>
        </w:rPr>
        <w:t>&lt;/Members&gt;</w:t>
      </w:r>
    </w:p>
    <w:p w14:paraId="796D6DF7" w14:textId="1D3363A8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762093F0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5AD85E17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399E7498" w14:textId="3C49F505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0EEBB5B3" w14:textId="0C50E086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03A65CA3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203C8D11" w14:textId="15C234BF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22-B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7622971E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712800" w:rsidRDefault="00712800" w:rsidP="009F6FC0">
            <w:pPr>
              <w:pStyle w:val="Normal6a"/>
            </w:pPr>
            <w:r w:rsidRPr="00712800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712800" w:rsidRDefault="00712800" w:rsidP="00CD6B1C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</w:rPr>
              <w:t>22-B.</w:t>
            </w:r>
            <w:r w:rsidRPr="00712800">
              <w:rPr>
                <w:b/>
                <w:i/>
              </w:rPr>
              <w:tab/>
              <w:t>Insiste em que uma nova arquitetura de segurança europeia deve aplicar os princípios da coexistência pacífica entre países com diferentes sistemas políticos e oferecer garantias de segurança a todas as partes;</w:t>
            </w:r>
          </w:p>
        </w:tc>
      </w:tr>
    </w:tbl>
    <w:p w14:paraId="544A2020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3ABF5367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58EF5FD9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723CE1F8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24B5D4A4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6EAB60A1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FA70483" w14:textId="42701AB9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58</w:t>
      </w:r>
      <w:r w:rsidRPr="00712800">
        <w:rPr>
          <w:rStyle w:val="HideTWBExt"/>
        </w:rPr>
        <w:t>&lt;/NumAm&gt;</w:t>
      </w:r>
    </w:p>
    <w:p w14:paraId="0564F188" w14:textId="6726D8DF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58</w:t>
      </w:r>
      <w:r w:rsidRPr="00712800">
        <w:rPr>
          <w:rStyle w:val="HideTWBExt"/>
          <w:b w:val="0"/>
        </w:rPr>
        <w:t>&lt;/NumAm&gt;</w:t>
      </w:r>
    </w:p>
    <w:p w14:paraId="0C929D04" w14:textId="7C8F67D0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Manon Aubry, Marina Mesure, Marc Botenga</w:t>
      </w:r>
      <w:r w:rsidRPr="00712800">
        <w:rPr>
          <w:rStyle w:val="HideTWBExt"/>
          <w:b w:val="0"/>
        </w:rPr>
        <w:t>&lt;/Members&gt;</w:t>
      </w:r>
    </w:p>
    <w:p w14:paraId="6F9E552D" w14:textId="513F0BA6" w:rsidR="004C35EC" w:rsidRPr="00712800" w:rsidRDefault="00712800" w:rsidP="004C35EC">
      <w:pPr>
        <w:rPr>
          <w:rStyle w:val="HideTWBExt"/>
        </w:rPr>
      </w:pPr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28369E6E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526897D5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1195B739" w14:textId="40FFCA32" w:rsidR="004C35EC" w:rsidRPr="00712800" w:rsidRDefault="00712800" w:rsidP="004C35EC">
      <w:pPr>
        <w:pStyle w:val="NormalBold"/>
        <w:rPr>
          <w:noProof/>
        </w:rPr>
      </w:pPr>
      <w:r w:rsidRPr="00712800">
        <w:rPr>
          <w:rStyle w:val="HideTWBExt"/>
          <w:b w:val="0"/>
        </w:rPr>
        <w:t>&lt;Rapporteur&gt;</w:t>
      </w:r>
      <w:r w:rsidRPr="00712800">
        <w:t>PPE, S&amp;D, ECR, Renew, The Left</w:t>
      </w:r>
      <w:r w:rsidRPr="00712800">
        <w:rPr>
          <w:rStyle w:val="HideTWBExt"/>
          <w:b w:val="0"/>
        </w:rPr>
        <w:t>&lt;/Rapporteur&gt;</w:t>
      </w:r>
    </w:p>
    <w:p w14:paraId="37A2CE50" w14:textId="348C8559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7BD1AD46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35F14AF2" w14:textId="699675B4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33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12C049AC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712800" w:rsidRDefault="00712800" w:rsidP="004B4D8C">
            <w:pPr>
              <w:pStyle w:val="Normal6a"/>
              <w:rPr>
                <w:b/>
                <w:i/>
              </w:rPr>
            </w:pPr>
            <w:r w:rsidRPr="00712800">
              <w:t>33.</w:t>
            </w:r>
            <w:r w:rsidRPr="00712800">
              <w:rPr>
                <w:b/>
                <w:i/>
              </w:rPr>
              <w:tab/>
            </w:r>
            <w:r w:rsidRPr="00712800">
              <w:rPr>
                <w:rStyle w:val="Aucun"/>
              </w:rPr>
              <w:t xml:space="preserve">Está firmemente convicto de que, no contexto geopolítico atual, </w:t>
            </w:r>
            <w:r w:rsidRPr="00712800">
              <w:rPr>
                <w:rStyle w:val="Aucun"/>
                <w:b/>
                <w:i/>
              </w:rPr>
              <w:t>é imperioso operacionalizar</w:t>
            </w:r>
            <w:r w:rsidRPr="00712800">
              <w:rPr>
                <w:rStyle w:val="Aucun"/>
              </w:rPr>
              <w:t xml:space="preserve"> o artigo 42.º, n.º 7, do Tratado da União Europeia (TUE) relativo à assistência mútua, assegurando a solidariedade entre os Estados-Membros, </w:t>
            </w:r>
            <w:r w:rsidRPr="00712800">
              <w:rPr>
                <w:rStyle w:val="Aucun"/>
                <w:b/>
                <w:i/>
              </w:rPr>
              <w:t>especialmente aqueles que, devido à sua posição geográfica, estão diretamente expostos a ameaças e desafios iminentes</w:t>
            </w:r>
            <w:r w:rsidRPr="00712800">
              <w:rPr>
                <w:rStyle w:val="Aucun"/>
              </w:rPr>
              <w:t xml:space="preserve">, </w:t>
            </w:r>
            <w:r w:rsidRPr="00712800">
              <w:rPr>
                <w:rStyle w:val="Aucun"/>
                <w:b/>
                <w:i/>
              </w:rPr>
              <w:t>independentemente</w:t>
            </w:r>
            <w:r w:rsidRPr="00712800">
              <w:rPr>
                <w:rStyle w:val="Aucun"/>
              </w:rPr>
              <w:t xml:space="preserve"> de </w:t>
            </w:r>
            <w:r w:rsidRPr="00712800">
              <w:rPr>
                <w:rStyle w:val="Aucun"/>
                <w:b/>
                <w:i/>
              </w:rPr>
              <w:t>serem ou não membros</w:t>
            </w:r>
            <w:r w:rsidRPr="00712800">
              <w:rPr>
                <w:rStyle w:val="Aucun"/>
              </w:rPr>
              <w:t xml:space="preserve"> da NATO;</w:t>
            </w:r>
          </w:p>
        </w:tc>
        <w:tc>
          <w:tcPr>
            <w:tcW w:w="4876" w:type="dxa"/>
          </w:tcPr>
          <w:p w14:paraId="67A560F7" w14:textId="0ECF8E1B" w:rsidR="00CD6B1C" w:rsidRPr="00712800" w:rsidRDefault="00712800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712800">
              <w:rPr>
                <w:shd w:val="clear" w:color="auto" w:fill="FFFFFF"/>
              </w:rPr>
              <w:t>33.</w:t>
            </w:r>
            <w:r w:rsidRPr="00712800">
              <w:rPr>
                <w:b/>
                <w:i/>
                <w:shd w:val="clear" w:color="auto" w:fill="FFFFFF"/>
              </w:rPr>
              <w:tab/>
            </w:r>
            <w:r w:rsidRPr="00712800">
              <w:rPr>
                <w:rStyle w:val="Aucun"/>
              </w:rPr>
              <w:t xml:space="preserve">Está firmemente convicto de que, no contexto geopolítico atual, </w:t>
            </w:r>
            <w:r w:rsidRPr="00712800">
              <w:rPr>
                <w:rStyle w:val="Aucun"/>
                <w:b/>
                <w:i/>
              </w:rPr>
              <w:t>uma verdadeira autonomia estratégica europeia só poderá ser alcançada se</w:t>
            </w:r>
            <w:r w:rsidRPr="00712800">
              <w:rPr>
                <w:rStyle w:val="Aucun"/>
              </w:rPr>
              <w:t xml:space="preserve"> o artigo 42.º, n.º 7, do Tratado da União Europeia (TUE) relativo à assistência mútua</w:t>
            </w:r>
            <w:r w:rsidRPr="00712800">
              <w:rPr>
                <w:rStyle w:val="Aucun"/>
                <w:b/>
                <w:i/>
              </w:rPr>
              <w:t xml:space="preserve"> for considerado da maior importância</w:t>
            </w:r>
            <w:r w:rsidRPr="00712800">
              <w:rPr>
                <w:rStyle w:val="Aucun"/>
              </w:rPr>
              <w:t xml:space="preserve">, assegurando a solidariedade entre os Estados-Membros, </w:t>
            </w:r>
            <w:r w:rsidRPr="00712800">
              <w:rPr>
                <w:rStyle w:val="Aucun"/>
                <w:b/>
                <w:i/>
              </w:rPr>
              <w:t>e se tornar o fundamento da defesa coletiva de todos os Estados-Membros</w:t>
            </w:r>
            <w:r w:rsidRPr="00712800">
              <w:rPr>
                <w:rStyle w:val="Aucun"/>
              </w:rPr>
              <w:t xml:space="preserve">, </w:t>
            </w:r>
            <w:r w:rsidRPr="00712800">
              <w:rPr>
                <w:rStyle w:val="Aucun"/>
                <w:b/>
                <w:i/>
              </w:rPr>
              <w:t>em vez</w:t>
            </w:r>
            <w:r w:rsidRPr="00712800">
              <w:rPr>
                <w:rStyle w:val="Aucun"/>
              </w:rPr>
              <w:t xml:space="preserve"> de </w:t>
            </w:r>
            <w:r w:rsidRPr="00712800">
              <w:rPr>
                <w:rStyle w:val="Aucun"/>
                <w:b/>
                <w:i/>
              </w:rPr>
              <w:t>depender</w:t>
            </w:r>
            <w:r w:rsidRPr="00712800">
              <w:rPr>
                <w:rStyle w:val="Aucun"/>
              </w:rPr>
              <w:t xml:space="preserve"> da NATO;</w:t>
            </w:r>
          </w:p>
          <w:p w14:paraId="444BF71F" w14:textId="00C3B080" w:rsidR="004C35EC" w:rsidRPr="00712800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Pr="00712800">
        <w:rPr>
          <w:rStyle w:val="HideTWBInt"/>
        </w:rPr>
        <w:t>{EN}</w:t>
      </w:r>
      <w:r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0EFE3929" w14:textId="77777777" w:rsidR="004C35EC" w:rsidRPr="00712800" w:rsidRDefault="00712800" w:rsidP="004C35EC">
      <w:r w:rsidRPr="00712800">
        <w:br w:type="page"/>
      </w:r>
      <w:r w:rsidRPr="00712800">
        <w:rPr>
          <w:rStyle w:val="HideTWBExt"/>
        </w:rPr>
        <w:t>&lt;/Amend&gt;</w:t>
      </w:r>
    </w:p>
    <w:p w14:paraId="49E38E92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&lt;Amend&gt;&lt;Date&gt;</w:t>
      </w:r>
      <w:r w:rsidRPr="00712800">
        <w:rPr>
          <w:rStyle w:val="HideTWBInt"/>
          <w:color w:val="auto"/>
        </w:rPr>
        <w:t>{10/03/2025}</w:t>
      </w:r>
      <w:r w:rsidRPr="00712800">
        <w:t>10.3.2025</w:t>
      </w:r>
      <w:r w:rsidRPr="00712800">
        <w:rPr>
          <w:rStyle w:val="HideTWBExt"/>
        </w:rPr>
        <w:t>&lt;/Date&gt;</w:t>
      </w:r>
      <w:r w:rsidRPr="00712800">
        <w:t xml:space="preserve"> </w:t>
      </w:r>
      <w:r w:rsidRPr="00712800">
        <w:rPr>
          <w:rStyle w:val="HideTWBExt"/>
        </w:rPr>
        <w:t>&lt;RepeatBlock-BNos&gt;&lt;BNos&gt;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0146/2025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9E1451D" w14:textId="77777777" w:rsidR="004C35EC" w:rsidRPr="00712800" w:rsidRDefault="00712800" w:rsidP="004E280B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0147/2025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12254DB8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0148/2025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3C2339B3" w14:textId="77777777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0149/2025</w:t>
      </w:r>
      <w:r w:rsidRPr="00712800">
        <w:rPr>
          <w:rStyle w:val="HideTWBExt"/>
        </w:rPr>
        <w:t>&lt;/NoDocSe&gt;</w:t>
      </w:r>
      <w:r w:rsidRPr="00712800">
        <w:t xml:space="preserve"> } </w:t>
      </w:r>
    </w:p>
    <w:p w14:paraId="2E696829" w14:textId="2DD2CE2E" w:rsidR="004C35EC" w:rsidRPr="00712800" w:rsidRDefault="00712800" w:rsidP="004C35EC">
      <w:pPr>
        <w:pStyle w:val="AmDateTabRC"/>
      </w:pPr>
      <w:r w:rsidRPr="00712800">
        <w:rPr>
          <w:rStyle w:val="HideTWBExt"/>
        </w:rPr>
        <w:t>&lt;/BNos&gt;&lt;/RepeatBlock-BNos&gt;</w:t>
      </w:r>
      <w:r w:rsidRPr="00712800">
        <w:tab/>
      </w:r>
      <w:r w:rsidRPr="00712800">
        <w:rPr>
          <w:rStyle w:val="HideTWBExt"/>
        </w:rPr>
        <w:t>&lt;NoDocSe&gt;</w:t>
      </w:r>
      <w:r w:rsidRPr="00712800">
        <w:t>B10</w:t>
      </w:r>
      <w:r w:rsidRPr="00712800">
        <w:noBreakHyphen/>
        <w:t>0150/2025</w:t>
      </w:r>
      <w:r w:rsidRPr="00712800">
        <w:rPr>
          <w:rStyle w:val="HideTWBExt"/>
        </w:rPr>
        <w:t>&lt;/NoDocSe&gt;</w:t>
      </w:r>
      <w:r w:rsidRPr="00712800">
        <w:t xml:space="preserve"> } RC1/Alt. </w:t>
      </w:r>
      <w:r w:rsidRPr="00712800">
        <w:rPr>
          <w:rStyle w:val="HideTWBExt"/>
        </w:rPr>
        <w:t>&lt;NumAm&gt;</w:t>
      </w:r>
      <w:r w:rsidRPr="00712800">
        <w:t>59</w:t>
      </w:r>
      <w:r w:rsidRPr="00712800">
        <w:rPr>
          <w:rStyle w:val="HideTWBExt"/>
        </w:rPr>
        <w:t>&lt;/NumAm&gt;</w:t>
      </w:r>
    </w:p>
    <w:p w14:paraId="1CCDC876" w14:textId="5103543C" w:rsidR="004C35EC" w:rsidRPr="00712800" w:rsidRDefault="00712800" w:rsidP="004C35EC">
      <w:pPr>
        <w:pStyle w:val="AmNumberTabs"/>
      </w:pPr>
      <w:r w:rsidRPr="00712800">
        <w:t>Alteração</w:t>
      </w:r>
      <w:r w:rsidRPr="00712800">
        <w:tab/>
      </w:r>
      <w:r w:rsidRPr="00712800">
        <w:tab/>
      </w:r>
      <w:r w:rsidRPr="00712800">
        <w:rPr>
          <w:rStyle w:val="HideTWBExt"/>
          <w:b w:val="0"/>
        </w:rPr>
        <w:t>&lt;NumAm&gt;</w:t>
      </w:r>
      <w:r w:rsidRPr="00712800">
        <w:t>59</w:t>
      </w:r>
      <w:r w:rsidRPr="00712800">
        <w:rPr>
          <w:rStyle w:val="HideTWBExt"/>
          <w:b w:val="0"/>
        </w:rPr>
        <w:t>&lt;/NumAm&gt;</w:t>
      </w:r>
    </w:p>
    <w:p w14:paraId="1D9008FF" w14:textId="5C00C885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&lt;RepeatBlock-By&gt;&lt;Members&gt;</w:t>
      </w:r>
      <w:r w:rsidRPr="00712800">
        <w:t>Giorgos Georgiou</w:t>
      </w:r>
      <w:r w:rsidRPr="00712800">
        <w:rPr>
          <w:rStyle w:val="HideTWBExt"/>
          <w:b w:val="0"/>
        </w:rPr>
        <w:t>&lt;/Members&gt;</w:t>
      </w:r>
    </w:p>
    <w:p w14:paraId="39B5E5F8" w14:textId="1C99EB43" w:rsidR="004C35EC" w:rsidRPr="00712800" w:rsidRDefault="00712800" w:rsidP="004C35EC">
      <w:r w:rsidRPr="00712800">
        <w:rPr>
          <w:rStyle w:val="HideTWBExt"/>
        </w:rPr>
        <w:t>&lt;AuNomDe&gt;</w:t>
      </w:r>
      <w:r w:rsidRPr="00712800">
        <w:rPr>
          <w:rStyle w:val="HideTWBInt"/>
          <w:color w:val="auto"/>
        </w:rPr>
        <w:t>{The Left}</w:t>
      </w:r>
      <w:r w:rsidRPr="00712800">
        <w:t>em nome do Grupo The Left</w:t>
      </w:r>
      <w:r w:rsidRPr="00712800">
        <w:rPr>
          <w:rStyle w:val="HideTWBExt"/>
        </w:rPr>
        <w:t>&lt;/AuNomDe&gt;</w:t>
      </w:r>
    </w:p>
    <w:p w14:paraId="124431F0" w14:textId="77777777" w:rsidR="004C35EC" w:rsidRPr="00712800" w:rsidRDefault="00712800" w:rsidP="004C35EC">
      <w:r w:rsidRPr="00712800">
        <w:rPr>
          <w:rStyle w:val="HideTWBExt"/>
        </w:rPr>
        <w:t>&lt;/RepeatBlock-By&gt;</w:t>
      </w:r>
    </w:p>
    <w:p w14:paraId="5D3C8BAB" w14:textId="77777777" w:rsidR="004C35EC" w:rsidRPr="00712800" w:rsidRDefault="00712800" w:rsidP="004C35EC">
      <w:pPr>
        <w:pStyle w:val="AmDocTypeTab"/>
        <w:rPr>
          <w:noProof/>
        </w:rPr>
      </w:pPr>
      <w:r w:rsidRPr="00712800">
        <w:rPr>
          <w:rStyle w:val="HideTWBExt"/>
          <w:b w:val="0"/>
        </w:rPr>
        <w:t>&lt;TitreType&gt;</w:t>
      </w:r>
      <w:r w:rsidRPr="00712800">
        <w:t>Proposta de resolução comum</w:t>
      </w:r>
      <w:r w:rsidRPr="00712800">
        <w:rPr>
          <w:rStyle w:val="HideTWBExt"/>
          <w:b w:val="0"/>
        </w:rPr>
        <w:t>&lt;/TitreType&gt;</w:t>
      </w:r>
    </w:p>
    <w:p w14:paraId="76C703E6" w14:textId="67E1C737" w:rsidR="004C35EC" w:rsidRPr="006D5841" w:rsidRDefault="00712800" w:rsidP="004C35EC">
      <w:pPr>
        <w:pStyle w:val="NormalBold"/>
        <w:rPr>
          <w:noProof/>
          <w:lang w:val="en-GB"/>
        </w:rPr>
      </w:pPr>
      <w:r w:rsidRPr="006D5841">
        <w:rPr>
          <w:rStyle w:val="HideTWBExt"/>
          <w:b w:val="0"/>
          <w:lang w:val="en-GB"/>
        </w:rPr>
        <w:t>&lt;Rapporteur&gt;</w:t>
      </w:r>
      <w:r w:rsidRPr="006D5841">
        <w:rPr>
          <w:lang w:val="en-GB"/>
        </w:rPr>
        <w:t>PPE, S&amp;D, ECR, Renew, The Left</w:t>
      </w:r>
      <w:r w:rsidRPr="006D5841">
        <w:rPr>
          <w:rStyle w:val="HideTWBExt"/>
          <w:b w:val="0"/>
          <w:lang w:val="en-GB"/>
        </w:rPr>
        <w:t>&lt;/Rapporteur&gt;</w:t>
      </w:r>
    </w:p>
    <w:p w14:paraId="4BED7428" w14:textId="39E6939E" w:rsidR="004C35EC" w:rsidRPr="00712800" w:rsidRDefault="00712800" w:rsidP="004C35EC">
      <w:pPr>
        <w:pStyle w:val="Normal12a"/>
      </w:pPr>
      <w:r w:rsidRPr="00712800">
        <w:rPr>
          <w:rStyle w:val="HideTWBExt"/>
        </w:rPr>
        <w:t>&lt;Titre&gt;</w:t>
      </w:r>
      <w:r w:rsidRPr="00712800">
        <w:t>Livro Branco sobre o futuro da defesa europeia</w:t>
      </w:r>
      <w:r w:rsidRPr="00712800">
        <w:rPr>
          <w:rStyle w:val="HideTWBExt"/>
        </w:rPr>
        <w:t>&lt;/Titre&gt;</w:t>
      </w:r>
    </w:p>
    <w:p w14:paraId="6F8E080E" w14:textId="77777777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&lt;DocAmend&gt;</w:t>
      </w:r>
      <w:r w:rsidRPr="00712800">
        <w:t>Proposta de resolução comum</w:t>
      </w:r>
      <w:r w:rsidRPr="00712800">
        <w:rPr>
          <w:rStyle w:val="HideTWBExt"/>
          <w:b w:val="0"/>
        </w:rPr>
        <w:t>&lt;/DocAmend&gt;</w:t>
      </w:r>
    </w:p>
    <w:p w14:paraId="36D80602" w14:textId="422E30C3" w:rsidR="004C35EC" w:rsidRPr="00712800" w:rsidRDefault="00712800" w:rsidP="004C35EC">
      <w:pPr>
        <w:pStyle w:val="NormalBold"/>
      </w:pPr>
      <w:r w:rsidRPr="00712800">
        <w:rPr>
          <w:rStyle w:val="HideTWBExt"/>
          <w:b w:val="0"/>
        </w:rPr>
        <w:t>&lt;Article&gt;</w:t>
      </w:r>
      <w:r w:rsidRPr="00712800">
        <w:t>N.º 32-A (novo)</w:t>
      </w:r>
      <w:r w:rsidRPr="0071280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3F53" w:rsidRPr="00712800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712800" w:rsidRDefault="004C35EC" w:rsidP="009F6FC0">
            <w:pPr>
              <w:keepNext/>
            </w:pPr>
          </w:p>
        </w:tc>
      </w:tr>
      <w:tr w:rsidR="00383F53" w:rsidRPr="00712800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Proposta de resolução comum</w:t>
            </w:r>
          </w:p>
        </w:tc>
        <w:tc>
          <w:tcPr>
            <w:tcW w:w="4876" w:type="dxa"/>
          </w:tcPr>
          <w:p w14:paraId="359FC2C4" w14:textId="77777777" w:rsidR="004C35EC" w:rsidRPr="00712800" w:rsidRDefault="00712800" w:rsidP="009F6FC0">
            <w:pPr>
              <w:pStyle w:val="AmColumnHeading"/>
              <w:keepNext/>
            </w:pPr>
            <w:r w:rsidRPr="00712800">
              <w:t>Alteração</w:t>
            </w:r>
          </w:p>
        </w:tc>
      </w:tr>
      <w:tr w:rsidR="00383F53" w:rsidRPr="00712800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712800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712800" w:rsidRDefault="00712800" w:rsidP="00A33950">
            <w:pPr>
              <w:pStyle w:val="Normal6a"/>
              <w:rPr>
                <w:b/>
                <w:i/>
                <w:szCs w:val="24"/>
              </w:rPr>
            </w:pPr>
            <w:r w:rsidRPr="00712800">
              <w:rPr>
                <w:b/>
                <w:i/>
                <w:shd w:val="clear" w:color="auto" w:fill="FFFFFF"/>
              </w:rPr>
              <w:t>32-A.</w:t>
            </w:r>
            <w:r w:rsidRPr="00712800">
              <w:rPr>
                <w:b/>
                <w:i/>
                <w:shd w:val="clear" w:color="auto" w:fill="FFFFFF"/>
              </w:rPr>
              <w:tab/>
              <w:t>Reitera o seu apelo à Turquia, membro da NATO, para que retire as suas tropas de Chipre, Estado-Membro da UE, e trabalhe de forma construtiva para encontrar uma solução viável e pacífica com base nas resoluções pertinentes das Nações Unidas;</w:t>
            </w:r>
          </w:p>
        </w:tc>
      </w:tr>
    </w:tbl>
    <w:p w14:paraId="39DA035B" w14:textId="77777777" w:rsidR="004C35EC" w:rsidRPr="00712800" w:rsidRDefault="00712800" w:rsidP="004C35EC">
      <w:pPr>
        <w:pStyle w:val="AmOrLang"/>
      </w:pPr>
      <w:r w:rsidRPr="00712800">
        <w:t xml:space="preserve">Or. </w:t>
      </w:r>
      <w:r w:rsidRPr="00712800">
        <w:rPr>
          <w:rStyle w:val="HideTWBExt"/>
          <w:rFonts w:eastAsiaTheme="majorEastAsia"/>
        </w:rPr>
        <w:t>&lt;Original&gt;</w:t>
      </w:r>
      <w:r w:rsidR="00C02B73" w:rsidRPr="00712800">
        <w:rPr>
          <w:rStyle w:val="HideTWBInt"/>
        </w:rPr>
        <w:t>{EN}</w:t>
      </w:r>
      <w:r w:rsidR="00C02B73" w:rsidRPr="00712800">
        <w:t>en</w:t>
      </w:r>
      <w:r w:rsidRPr="00712800">
        <w:rPr>
          <w:rStyle w:val="HideTWBExt"/>
          <w:rFonts w:eastAsiaTheme="majorEastAsia"/>
        </w:rPr>
        <w:t>&lt;/Original&gt;</w:t>
      </w:r>
    </w:p>
    <w:p w14:paraId="7BBF9086" w14:textId="77777777" w:rsidR="004C35EC" w:rsidRPr="00712800" w:rsidRDefault="00712800" w:rsidP="004C35EC">
      <w:r w:rsidRPr="00712800">
        <w:rPr>
          <w:rStyle w:val="HideTWBExt"/>
        </w:rPr>
        <w:t>&lt;/Amend&gt;</w:t>
      </w:r>
    </w:p>
    <w:p w14:paraId="7F18560B" w14:textId="77777777" w:rsidR="005C6490" w:rsidRPr="00712800" w:rsidRDefault="00712800" w:rsidP="005C6490">
      <w:pPr>
        <w:tabs>
          <w:tab w:val="left" w:pos="-720"/>
        </w:tabs>
      </w:pPr>
      <w:r w:rsidRPr="00712800">
        <w:rPr>
          <w:rStyle w:val="HideTWBExt"/>
        </w:rPr>
        <w:t>&lt;/RepeatBlock-Amend&gt;</w:t>
      </w:r>
    </w:p>
    <w:sectPr w:rsidR="005C6490" w:rsidRPr="00712800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23E02" w14:textId="77777777" w:rsidR="00D63FC8" w:rsidRPr="00712800" w:rsidRDefault="00712800">
      <w:r w:rsidRPr="00712800">
        <w:separator/>
      </w:r>
    </w:p>
  </w:endnote>
  <w:endnote w:type="continuationSeparator" w:id="0">
    <w:p w14:paraId="60180C88" w14:textId="77777777" w:rsidR="00D63FC8" w:rsidRPr="00712800" w:rsidRDefault="00712800">
      <w:r w:rsidRPr="007128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4B8A0" w14:textId="77777777" w:rsidR="006D5841" w:rsidRDefault="006D5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AEC66" w14:textId="77777777" w:rsidR="00712800" w:rsidRPr="00712800" w:rsidRDefault="00712800" w:rsidP="00712800">
    <w:pPr>
      <w:pStyle w:val="EPFooterRC"/>
    </w:pPr>
    <w:r w:rsidRPr="00712800">
      <w:rPr>
        <w:rStyle w:val="HideTWBExt"/>
      </w:rPr>
      <w:t>&lt;PathFdR&gt;</w:t>
    </w:r>
    <w:r w:rsidRPr="00712800">
      <w:t>AM\1316909PT.docx</w:t>
    </w:r>
    <w:r w:rsidRPr="00712800">
      <w:rPr>
        <w:rStyle w:val="HideTWBExt"/>
      </w:rPr>
      <w:t>&lt;/PathFdR&gt;</w:t>
    </w:r>
    <w:r w:rsidRPr="00712800">
      <w:tab/>
    </w:r>
    <w:r w:rsidRPr="00712800">
      <w:tab/>
      <w:t>PE</w:t>
    </w:r>
    <w:r w:rsidRPr="00712800">
      <w:rPr>
        <w:rStyle w:val="HideTWBExt"/>
      </w:rPr>
      <w:t>&lt;NoPE&gt;</w:t>
    </w:r>
    <w:r w:rsidRPr="00712800">
      <w:t>769.727</w:t>
    </w:r>
    <w:r w:rsidRPr="00712800">
      <w:rPr>
        <w:rStyle w:val="HideTWBExt"/>
      </w:rPr>
      <w:t>&lt;/NoPE&gt;&lt;Version&gt;</w:t>
    </w:r>
    <w:r w:rsidRPr="00712800">
      <w:t>v01-00</w:t>
    </w:r>
    <w:r w:rsidRPr="00712800">
      <w:rPr>
        <w:rStyle w:val="HideTWBExt"/>
      </w:rPr>
      <w:t>&lt;/Version&gt;</w:t>
    </w:r>
    <w:r w:rsidRPr="00712800">
      <w:t xml:space="preserve"> }</w:t>
    </w:r>
  </w:p>
  <w:p w14:paraId="5A9F6236" w14:textId="77777777" w:rsidR="00712800" w:rsidRPr="00712800" w:rsidRDefault="00712800" w:rsidP="00712800">
    <w:pPr>
      <w:pStyle w:val="EPFooterRC"/>
    </w:pPr>
    <w:r w:rsidRPr="00712800">
      <w:tab/>
    </w:r>
    <w:r w:rsidRPr="00712800">
      <w:tab/>
      <w:t>PE</w:t>
    </w:r>
    <w:r w:rsidRPr="00712800">
      <w:rPr>
        <w:rStyle w:val="HideTWBExt"/>
      </w:rPr>
      <w:t>&lt;NoPE&gt;</w:t>
    </w:r>
    <w:r w:rsidRPr="00712800">
      <w:t>769.728</w:t>
    </w:r>
    <w:r w:rsidRPr="00712800">
      <w:rPr>
        <w:rStyle w:val="HideTWBExt"/>
      </w:rPr>
      <w:t>&lt;/NoPE&gt;&lt;Version&gt;</w:t>
    </w:r>
    <w:r w:rsidRPr="00712800">
      <w:t>v01-00</w:t>
    </w:r>
    <w:r w:rsidRPr="00712800">
      <w:rPr>
        <w:rStyle w:val="HideTWBExt"/>
      </w:rPr>
      <w:t>&lt;/Version&gt;</w:t>
    </w:r>
    <w:r w:rsidRPr="00712800">
      <w:t xml:space="preserve"> }</w:t>
    </w:r>
  </w:p>
  <w:p w14:paraId="7E42D612" w14:textId="77777777" w:rsidR="00712800" w:rsidRPr="00712800" w:rsidRDefault="00712800" w:rsidP="00712800">
    <w:pPr>
      <w:pStyle w:val="EPFooterRC"/>
    </w:pPr>
    <w:r w:rsidRPr="00712800">
      <w:tab/>
    </w:r>
    <w:r w:rsidRPr="00712800">
      <w:tab/>
      <w:t>PE</w:t>
    </w:r>
    <w:r w:rsidRPr="00712800">
      <w:rPr>
        <w:rStyle w:val="HideTWBExt"/>
      </w:rPr>
      <w:t>&lt;NoPE&gt;</w:t>
    </w:r>
    <w:r w:rsidRPr="00712800">
      <w:t>769.729</w:t>
    </w:r>
    <w:r w:rsidRPr="00712800">
      <w:rPr>
        <w:rStyle w:val="HideTWBExt"/>
      </w:rPr>
      <w:t>&lt;/NoPE&gt;&lt;Version&gt;</w:t>
    </w:r>
    <w:r w:rsidRPr="00712800">
      <w:t>v01-00</w:t>
    </w:r>
    <w:r w:rsidRPr="00712800">
      <w:rPr>
        <w:rStyle w:val="HideTWBExt"/>
      </w:rPr>
      <w:t>&lt;/Version&gt;</w:t>
    </w:r>
    <w:r w:rsidRPr="00712800">
      <w:t xml:space="preserve"> }</w:t>
    </w:r>
  </w:p>
  <w:p w14:paraId="655CE1D3" w14:textId="77777777" w:rsidR="00712800" w:rsidRPr="00712800" w:rsidRDefault="00712800" w:rsidP="00712800">
    <w:pPr>
      <w:pStyle w:val="EPFooterRC"/>
    </w:pPr>
    <w:r w:rsidRPr="00712800">
      <w:tab/>
    </w:r>
    <w:r w:rsidRPr="00712800">
      <w:tab/>
      <w:t>PE</w:t>
    </w:r>
    <w:r w:rsidRPr="00712800">
      <w:rPr>
        <w:rStyle w:val="HideTWBExt"/>
      </w:rPr>
      <w:t>&lt;NoPE&gt;</w:t>
    </w:r>
    <w:r w:rsidRPr="00712800">
      <w:t>769.730</w:t>
    </w:r>
    <w:r w:rsidRPr="00712800">
      <w:rPr>
        <w:rStyle w:val="HideTWBExt"/>
      </w:rPr>
      <w:t>&lt;/NoPE&gt;&lt;Version&gt;</w:t>
    </w:r>
    <w:r w:rsidRPr="00712800">
      <w:t>v01-00</w:t>
    </w:r>
    <w:r w:rsidRPr="00712800">
      <w:rPr>
        <w:rStyle w:val="HideTWBExt"/>
      </w:rPr>
      <w:t>&lt;/Version&gt;</w:t>
    </w:r>
    <w:r w:rsidRPr="00712800">
      <w:t xml:space="preserve"> }</w:t>
    </w:r>
  </w:p>
  <w:p w14:paraId="1BB0C688" w14:textId="77777777" w:rsidR="00712800" w:rsidRPr="00712800" w:rsidRDefault="00712800" w:rsidP="00712800">
    <w:pPr>
      <w:pStyle w:val="EPFooterRC"/>
    </w:pPr>
    <w:r w:rsidRPr="00712800">
      <w:tab/>
    </w:r>
    <w:r w:rsidRPr="00712800">
      <w:tab/>
      <w:t>PE</w:t>
    </w:r>
    <w:r w:rsidRPr="00712800">
      <w:rPr>
        <w:rStyle w:val="HideTWBExt"/>
      </w:rPr>
      <w:t>&lt;NoPE&gt;</w:t>
    </w:r>
    <w:r w:rsidRPr="00712800">
      <w:t>769.731</w:t>
    </w:r>
    <w:r w:rsidRPr="00712800">
      <w:rPr>
        <w:rStyle w:val="HideTWBExt"/>
      </w:rPr>
      <w:t>&lt;/NoPE&gt;&lt;Version&gt;</w:t>
    </w:r>
    <w:r w:rsidRPr="00712800">
      <w:t>v01-00</w:t>
    </w:r>
    <w:r w:rsidRPr="00712800">
      <w:rPr>
        <w:rStyle w:val="HideTWBExt"/>
      </w:rPr>
      <w:t>&lt;/Version&gt;</w:t>
    </w:r>
    <w:r w:rsidRPr="00712800">
      <w:t xml:space="preserve"> } RC1</w:t>
    </w:r>
  </w:p>
  <w:p w14:paraId="071E724A" w14:textId="5730DFAC" w:rsidR="005C6490" w:rsidRPr="00712800" w:rsidRDefault="00712800" w:rsidP="00712800">
    <w:pPr>
      <w:pStyle w:val="EPFooter2"/>
    </w:pPr>
    <w:r w:rsidRPr="00712800">
      <w:t>PT</w:t>
    </w:r>
    <w:r w:rsidRPr="00712800">
      <w:tab/>
    </w:r>
    <w:r w:rsidRPr="00712800">
      <w:rPr>
        <w:b w:val="0"/>
        <w:i/>
        <w:color w:val="C0C0C0"/>
        <w:sz w:val="22"/>
      </w:rPr>
      <w:t>Unida na diversidade</w:t>
    </w:r>
    <w:r w:rsidRPr="00712800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10EA1" w14:textId="77777777" w:rsidR="006D5841" w:rsidRDefault="006D5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B0A61" w14:textId="77777777" w:rsidR="00D63FC8" w:rsidRPr="00712800" w:rsidRDefault="00712800">
      <w:r w:rsidRPr="00712800">
        <w:separator/>
      </w:r>
    </w:p>
  </w:footnote>
  <w:footnote w:type="continuationSeparator" w:id="0">
    <w:p w14:paraId="1D3A5C96" w14:textId="77777777" w:rsidR="00D63FC8" w:rsidRPr="00712800" w:rsidRDefault="00712800">
      <w:r w:rsidRPr="007128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901A8" w14:textId="77777777" w:rsidR="006D5841" w:rsidRDefault="006D5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AC5FB" w14:textId="77777777" w:rsidR="006D5841" w:rsidRDefault="006D58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8AB3" w14:textId="77777777" w:rsidR="006D5841" w:rsidRDefault="006D58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PT"/>
    <w:docVar w:name="TXTLANGUEMIN" w:val="pt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PT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9524C"/>
    <w:rsid w:val="002C3391"/>
    <w:rsid w:val="002E3410"/>
    <w:rsid w:val="003409D4"/>
    <w:rsid w:val="00340E9D"/>
    <w:rsid w:val="00345B27"/>
    <w:rsid w:val="00382401"/>
    <w:rsid w:val="00383F53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09D7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D5841"/>
    <w:rsid w:val="006E1FAA"/>
    <w:rsid w:val="006F34D6"/>
    <w:rsid w:val="00705A60"/>
    <w:rsid w:val="0071280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63FC8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1818</Words>
  <Characters>14674</Characters>
  <Application>Microsoft Office Word</Application>
  <DocSecurity>0</DocSecurity>
  <Lines>122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CAMPS Beatriz</cp:lastModifiedBy>
  <cp:revision>2</cp:revision>
  <cp:lastPrinted>2025-03-11T10:05:00Z</cp:lastPrinted>
  <dcterms:created xsi:type="dcterms:W3CDTF">2025-03-11T21:05:00Z</dcterms:created>
  <dcterms:modified xsi:type="dcterms:W3CDTF">2025-03-11T21:05:00Z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12:16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AM\1316909PT.docx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