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1E685D" w:rsidRPr="00971CAC" w14:paraId="03BB206F" w14:textId="77777777" w:rsidTr="00C85D0F">
        <w:trPr>
          <w:trHeight w:hRule="exact" w:val="1418"/>
        </w:trPr>
        <w:tc>
          <w:tcPr>
            <w:tcW w:w="6804" w:type="dxa"/>
            <w:shd w:val="clear" w:color="auto" w:fill="auto"/>
            <w:vAlign w:val="center"/>
          </w:tcPr>
          <w:p w14:paraId="2AA42BE8" w14:textId="77777777" w:rsidR="001E685D" w:rsidRPr="00971CAC" w:rsidRDefault="009E6DC8" w:rsidP="00C85D0F">
            <w:pPr>
              <w:pStyle w:val="EPName"/>
            </w:pPr>
            <w:r w:rsidRPr="00971CAC">
              <w:t>Parlement européen</w:t>
            </w:r>
          </w:p>
          <w:p w14:paraId="7735382C" w14:textId="77777777" w:rsidR="001E685D" w:rsidRPr="00971CAC" w:rsidRDefault="00EC68A1" w:rsidP="00EC68A1">
            <w:pPr>
              <w:pStyle w:val="EPTerm"/>
            </w:pPr>
            <w:r w:rsidRPr="00971CAC">
              <w:t>2024-2029</w:t>
            </w:r>
          </w:p>
        </w:tc>
        <w:tc>
          <w:tcPr>
            <w:tcW w:w="2268" w:type="dxa"/>
            <w:shd w:val="clear" w:color="auto" w:fill="auto"/>
          </w:tcPr>
          <w:p w14:paraId="4FB8E878" w14:textId="77777777" w:rsidR="001E685D" w:rsidRPr="00971CAC" w:rsidRDefault="001E685D" w:rsidP="00C85D0F">
            <w:pPr>
              <w:pStyle w:val="EPLogo"/>
            </w:pPr>
            <w:r w:rsidRPr="00971CAC">
              <w:rPr>
                <w:noProof/>
              </w:rPr>
              <w:drawing>
                <wp:inline distT="0" distB="0" distL="0" distR="0" wp14:anchorId="519908BC" wp14:editId="76F0F7E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D7F7D3" w14:textId="77777777" w:rsidR="000C7B89" w:rsidRPr="00971CAC" w:rsidRDefault="000C7B89" w:rsidP="000C7B89">
      <w:pPr>
        <w:pStyle w:val="LineTop"/>
      </w:pPr>
    </w:p>
    <w:p w14:paraId="444B27A7" w14:textId="77777777" w:rsidR="000C7B89" w:rsidRPr="00971CAC" w:rsidRDefault="00EC68A1" w:rsidP="000C7B89">
      <w:pPr>
        <w:pStyle w:val="EPBody"/>
      </w:pPr>
      <w:r w:rsidRPr="00971CAC">
        <w:t>Document de séance</w:t>
      </w:r>
    </w:p>
    <w:p w14:paraId="123D0EE2" w14:textId="77777777" w:rsidR="00680742" w:rsidRPr="00971CAC" w:rsidRDefault="00680742" w:rsidP="00680742">
      <w:pPr>
        <w:pStyle w:val="LineBottom"/>
      </w:pPr>
    </w:p>
    <w:p w14:paraId="4B70A614" w14:textId="77777777" w:rsidR="00680742" w:rsidRPr="00971CAC" w:rsidRDefault="00680742" w:rsidP="00680742">
      <w:pPr>
        <w:pStyle w:val="CoverReference"/>
      </w:pPr>
      <w:r w:rsidRPr="00971CAC">
        <w:rPr>
          <w:rStyle w:val="HideTWBExt"/>
          <w:b w:val="0"/>
        </w:rPr>
        <w:t>&lt;NoDocSe&gt;</w:t>
      </w:r>
      <w:r w:rsidRPr="00971CAC">
        <w:t>B10</w:t>
      </w:r>
      <w:r w:rsidRPr="00971CAC">
        <w:noBreakHyphen/>
        <w:t>0315/2025</w:t>
      </w:r>
      <w:r w:rsidRPr="00971CAC">
        <w:rPr>
          <w:rStyle w:val="HideTWBExt"/>
          <w:b w:val="0"/>
        </w:rPr>
        <w:t>&lt;/NoDocSe&gt;</w:t>
      </w:r>
    </w:p>
    <w:p w14:paraId="3BA02D06" w14:textId="77777777" w:rsidR="00680742" w:rsidRPr="00971CAC" w:rsidRDefault="00680742" w:rsidP="00680742">
      <w:pPr>
        <w:pStyle w:val="CoverDate"/>
      </w:pPr>
      <w:r w:rsidRPr="00971CAC">
        <w:rPr>
          <w:rStyle w:val="HideTWBExt"/>
        </w:rPr>
        <w:t>&lt;Date&gt;</w:t>
      </w:r>
      <w:r w:rsidRPr="00971CAC">
        <w:rPr>
          <w:rStyle w:val="HideTWBInt"/>
        </w:rPr>
        <w:t>{02/07/2025}</w:t>
      </w:r>
      <w:r w:rsidRPr="00971CAC">
        <w:t>2.7.2025</w:t>
      </w:r>
      <w:r w:rsidRPr="00971CAC">
        <w:rPr>
          <w:rStyle w:val="HideTWBExt"/>
        </w:rPr>
        <w:t>&lt;/Date&gt;</w:t>
      </w:r>
    </w:p>
    <w:p w14:paraId="0AEC1E44" w14:textId="77777777" w:rsidR="00A93F71" w:rsidRPr="00971CAC" w:rsidRDefault="00A93F71" w:rsidP="00A93F71">
      <w:pPr>
        <w:pStyle w:val="CoverDocType24a"/>
      </w:pPr>
      <w:r w:rsidRPr="00971CAC">
        <w:rPr>
          <w:rStyle w:val="HideTWBExt"/>
          <w:b w:val="0"/>
        </w:rPr>
        <w:t>&lt;TitreType&gt;</w:t>
      </w:r>
      <w:r w:rsidRPr="00971CAC">
        <w:t>PROPOSITION DE RÉSOLUTION</w:t>
      </w:r>
      <w:r w:rsidRPr="00971CAC">
        <w:rPr>
          <w:rStyle w:val="HideTWBExt"/>
          <w:b w:val="0"/>
        </w:rPr>
        <w:t>&lt;/TitreType&gt;</w:t>
      </w:r>
    </w:p>
    <w:p w14:paraId="1F51DD70" w14:textId="77777777" w:rsidR="00A93F71" w:rsidRPr="00971CAC" w:rsidRDefault="00A93F71" w:rsidP="00A93F71">
      <w:pPr>
        <w:pStyle w:val="CoverNormal12a"/>
      </w:pPr>
      <w:r w:rsidRPr="00971CAC">
        <w:rPr>
          <w:rStyle w:val="HideTWBExt"/>
        </w:rPr>
        <w:t>&lt;TitreRecueil&gt;</w:t>
      </w:r>
      <w:proofErr w:type="gramStart"/>
      <w:r w:rsidRPr="00971CAC">
        <w:t>déposée</w:t>
      </w:r>
      <w:proofErr w:type="gramEnd"/>
      <w:r w:rsidRPr="00971CAC">
        <w:t xml:space="preserve"> conformément à l’article 114, paragraphe 3, du règlement intérieur</w:t>
      </w:r>
      <w:r w:rsidRPr="00971CAC">
        <w:rPr>
          <w:rStyle w:val="HideTWBExt"/>
        </w:rPr>
        <w:t>&lt;/TitreRecueil&gt;</w:t>
      </w:r>
    </w:p>
    <w:p w14:paraId="22A8D726" w14:textId="77777777" w:rsidR="006405A7" w:rsidRPr="00971CAC" w:rsidRDefault="006405A7" w:rsidP="006405A7">
      <w:pPr>
        <w:pStyle w:val="CoverNormal"/>
      </w:pPr>
      <w:r w:rsidRPr="00971CAC">
        <w:rPr>
          <w:rStyle w:val="HideTWBExt"/>
        </w:rPr>
        <w:t>&lt;Titre&gt;</w:t>
      </w:r>
      <w:r w:rsidRPr="00971CAC">
        <w:t xml:space="preserve">sur le règlement délégué de la Commission du 10 juin 2025 modifiant le règlement délégué (UE) 2016/1675 de la Commission par l’ajout de l’Algérie, de l’Angola, de la Côte d’Ivoire, du Kenya, du Laos, du Liban, de Monaco, de la Namibie, du Népal et du Venezuela à la liste des pays tiers à haut risque qui </w:t>
      </w:r>
      <w:proofErr w:type="gramStart"/>
      <w:r w:rsidRPr="00971CAC">
        <w:t>ont</w:t>
      </w:r>
      <w:proofErr w:type="gramEnd"/>
      <w:r w:rsidRPr="00971CAC">
        <w:t xml:space="preserve"> pris un engagement écrit à haut niveau de remédier aux carences constatées et qui ont élaboré un plan d’action avec le GAFI, et par le retrait de cette liste de la Barbade, de Gibraltar, de la Jamaïque, du Panama, des Philippines, du Sénégal, de l’Ouganda et des Émirats arabes unis</w:t>
      </w:r>
      <w:r w:rsidRPr="00971CAC">
        <w:rPr>
          <w:rStyle w:val="HideTWBExt"/>
        </w:rPr>
        <w:t>&lt;/Titre&gt;</w:t>
      </w:r>
    </w:p>
    <w:p w14:paraId="42528EE4" w14:textId="77777777" w:rsidR="006405A7" w:rsidRPr="000706E6" w:rsidRDefault="006405A7" w:rsidP="00AA2B14">
      <w:pPr>
        <w:pStyle w:val="CoverNormal24a"/>
        <w:rPr>
          <w:lang w:val="sv-SE"/>
        </w:rPr>
      </w:pPr>
      <w:r w:rsidRPr="000706E6">
        <w:rPr>
          <w:rStyle w:val="HideTWBExt"/>
          <w:lang w:val="sv-SE"/>
        </w:rPr>
        <w:t>&lt;DocRef&gt;</w:t>
      </w:r>
      <w:r w:rsidRPr="000706E6">
        <w:rPr>
          <w:lang w:val="sv-SE"/>
        </w:rPr>
        <w:t>(</w:t>
      </w:r>
      <w:proofErr w:type="gramStart"/>
      <w:r w:rsidRPr="000706E6">
        <w:rPr>
          <w:lang w:val="sv-SE"/>
        </w:rPr>
        <w:t>C(</w:t>
      </w:r>
      <w:proofErr w:type="gramEnd"/>
      <w:r w:rsidRPr="000706E6">
        <w:rPr>
          <w:lang w:val="sv-SE"/>
        </w:rPr>
        <w:t>2025)3815) – 2025/2740(DEA))</w:t>
      </w:r>
      <w:r w:rsidRPr="000706E6">
        <w:rPr>
          <w:rStyle w:val="HideTWBExt"/>
          <w:lang w:val="sv-SE"/>
        </w:rPr>
        <w:t>&lt;/DocRef&gt;</w:t>
      </w:r>
    </w:p>
    <w:p w14:paraId="7440A29B" w14:textId="77777777" w:rsidR="00A43EB8" w:rsidRPr="000706E6" w:rsidRDefault="00A43EB8" w:rsidP="00A43EB8">
      <w:pPr>
        <w:pStyle w:val="CoverBold"/>
        <w:rPr>
          <w:lang w:val="sv-SE"/>
        </w:rPr>
      </w:pPr>
      <w:r w:rsidRPr="000706E6">
        <w:rPr>
          <w:rStyle w:val="HideTWBExt"/>
          <w:b w:val="0"/>
          <w:lang w:val="sv-SE"/>
        </w:rPr>
        <w:t>&lt;RepeatBlock-By&gt;&lt;Depute&gt;</w:t>
      </w:r>
      <w:r w:rsidRPr="000706E6">
        <w:rPr>
          <w:lang w:val="sv-SE"/>
        </w:rPr>
        <w:t xml:space="preserve">Rasmus Andresen, </w:t>
      </w:r>
      <w:proofErr w:type="spellStart"/>
      <w:r w:rsidRPr="000706E6">
        <w:rPr>
          <w:lang w:val="sv-SE"/>
        </w:rPr>
        <w:t>Kira</w:t>
      </w:r>
      <w:proofErr w:type="spellEnd"/>
      <w:r w:rsidRPr="000706E6">
        <w:rPr>
          <w:lang w:val="sv-SE"/>
        </w:rPr>
        <w:t xml:space="preserve"> Marie Peter</w:t>
      </w:r>
      <w:r w:rsidRPr="000706E6">
        <w:rPr>
          <w:lang w:val="sv-SE"/>
        </w:rPr>
        <w:noBreakHyphen/>
        <w:t>Hansen</w:t>
      </w:r>
      <w:r w:rsidRPr="000706E6">
        <w:rPr>
          <w:rStyle w:val="HideTWBExt"/>
          <w:b w:val="0"/>
          <w:lang w:val="sv-SE"/>
        </w:rPr>
        <w:t>&lt;/Depute&gt;</w:t>
      </w:r>
    </w:p>
    <w:p w14:paraId="6EAB1615" w14:textId="77777777" w:rsidR="00A43EB8" w:rsidRPr="00971CAC" w:rsidRDefault="00A43EB8" w:rsidP="00A43EB8">
      <w:pPr>
        <w:pStyle w:val="CoverNormal"/>
      </w:pPr>
      <w:r w:rsidRPr="00971CAC">
        <w:rPr>
          <w:rStyle w:val="HideTWBExt"/>
        </w:rPr>
        <w:t>&lt;Commission&gt;</w:t>
      </w:r>
      <w:r w:rsidRPr="00971CAC">
        <w:rPr>
          <w:rStyle w:val="HideTWBInt"/>
        </w:rPr>
        <w:t>{Verts/ALE}</w:t>
      </w:r>
      <w:proofErr w:type="gramStart"/>
      <w:r w:rsidRPr="00971CAC">
        <w:t>au</w:t>
      </w:r>
      <w:proofErr w:type="gramEnd"/>
      <w:r w:rsidRPr="00971CAC">
        <w:t xml:space="preserve"> nom du groupe Verts/ALE</w:t>
      </w:r>
      <w:r w:rsidRPr="00971CAC">
        <w:rPr>
          <w:rStyle w:val="HideTWBExt"/>
        </w:rPr>
        <w:t>&lt;/Commission&gt;</w:t>
      </w:r>
    </w:p>
    <w:p w14:paraId="347B148C" w14:textId="77777777" w:rsidR="00EC68A1" w:rsidRPr="00971CAC" w:rsidRDefault="00EC68A1" w:rsidP="00EC68A1">
      <w:pPr>
        <w:pStyle w:val="CoverBold"/>
      </w:pPr>
      <w:r w:rsidRPr="00971CAC">
        <w:rPr>
          <w:rStyle w:val="HideTWBExt"/>
          <w:b w:val="0"/>
        </w:rPr>
        <w:t>&lt;Depute&gt;</w:t>
      </w:r>
      <w:r w:rsidRPr="00971CAC">
        <w:t xml:space="preserve">Murielle Laurent, Brando </w:t>
      </w:r>
      <w:proofErr w:type="spellStart"/>
      <w:r w:rsidRPr="00971CAC">
        <w:t>Benifei</w:t>
      </w:r>
      <w:proofErr w:type="spellEnd"/>
      <w:r w:rsidRPr="00971CAC">
        <w:t xml:space="preserve">, Kathleen Van Brempt, Francisco Assis, Raphaël </w:t>
      </w:r>
      <w:proofErr w:type="spellStart"/>
      <w:r w:rsidRPr="00971CAC">
        <w:t>Glucksmann</w:t>
      </w:r>
      <w:proofErr w:type="spellEnd"/>
      <w:r w:rsidRPr="00971CAC">
        <w:t xml:space="preserve">, Aurore </w:t>
      </w:r>
      <w:proofErr w:type="spellStart"/>
      <w:r w:rsidRPr="00971CAC">
        <w:t>Lalucq</w:t>
      </w:r>
      <w:proofErr w:type="spellEnd"/>
      <w:r w:rsidRPr="00971CAC">
        <w:t xml:space="preserve">, Cecilia Strada, Christophe Clergeau, </w:t>
      </w:r>
      <w:proofErr w:type="spellStart"/>
      <w:r w:rsidRPr="00971CAC">
        <w:t>Eric</w:t>
      </w:r>
      <w:proofErr w:type="spellEnd"/>
      <w:r w:rsidRPr="00971CAC">
        <w:t xml:space="preserve"> </w:t>
      </w:r>
      <w:proofErr w:type="spellStart"/>
      <w:r w:rsidRPr="00971CAC">
        <w:t>Sargiacomo</w:t>
      </w:r>
      <w:proofErr w:type="spellEnd"/>
      <w:r w:rsidRPr="00971CAC">
        <w:t xml:space="preserve">, Nora </w:t>
      </w:r>
      <w:proofErr w:type="spellStart"/>
      <w:r w:rsidRPr="00971CAC">
        <w:t>Mebarek</w:t>
      </w:r>
      <w:proofErr w:type="spellEnd"/>
      <w:r w:rsidRPr="00971CAC">
        <w:t xml:space="preserve">, Chloé </w:t>
      </w:r>
      <w:proofErr w:type="spellStart"/>
      <w:r w:rsidRPr="00971CAC">
        <w:t>Ridel</w:t>
      </w:r>
      <w:proofErr w:type="spellEnd"/>
      <w:r w:rsidRPr="00971CAC">
        <w:t xml:space="preserve">, Claire </w:t>
      </w:r>
      <w:proofErr w:type="spellStart"/>
      <w:r w:rsidRPr="00971CAC">
        <w:t>Fita</w:t>
      </w:r>
      <w:proofErr w:type="spellEnd"/>
      <w:r w:rsidRPr="00971CAC">
        <w:t>, Thomas Pellerin</w:t>
      </w:r>
      <w:r w:rsidRPr="00971CAC">
        <w:noBreakHyphen/>
        <w:t xml:space="preserve">Carlin, Birgit </w:t>
      </w:r>
      <w:proofErr w:type="spellStart"/>
      <w:r w:rsidRPr="00971CAC">
        <w:t>Sippel</w:t>
      </w:r>
      <w:proofErr w:type="spellEnd"/>
      <w:r w:rsidRPr="00971CAC">
        <w:t xml:space="preserve">, Gabriele Bischoff, Lucia </w:t>
      </w:r>
      <w:proofErr w:type="spellStart"/>
      <w:r w:rsidRPr="00971CAC">
        <w:t>Annunziata</w:t>
      </w:r>
      <w:proofErr w:type="spellEnd"/>
      <w:r w:rsidRPr="00971CAC">
        <w:t xml:space="preserve">, Sandro </w:t>
      </w:r>
      <w:proofErr w:type="spellStart"/>
      <w:r w:rsidRPr="00971CAC">
        <w:t>Ruotolo</w:t>
      </w:r>
      <w:proofErr w:type="spellEnd"/>
      <w:r w:rsidRPr="00971CAC">
        <w:t xml:space="preserve">, Emma </w:t>
      </w:r>
      <w:proofErr w:type="spellStart"/>
      <w:r w:rsidRPr="00971CAC">
        <w:t>Rafowicz</w:t>
      </w:r>
      <w:proofErr w:type="spellEnd"/>
      <w:r w:rsidRPr="00971CAC">
        <w:t xml:space="preserve">, Pina </w:t>
      </w:r>
      <w:proofErr w:type="spellStart"/>
      <w:r w:rsidRPr="00971CAC">
        <w:t>Picierno</w:t>
      </w:r>
      <w:proofErr w:type="spellEnd"/>
      <w:r w:rsidRPr="00971CAC">
        <w:t xml:space="preserve">, Alessandra Moretti, Pierre Jouvet, </w:t>
      </w:r>
      <w:proofErr w:type="spellStart"/>
      <w:r w:rsidRPr="00971CAC">
        <w:t>Annalisa</w:t>
      </w:r>
      <w:proofErr w:type="spellEnd"/>
      <w:r w:rsidRPr="00971CAC">
        <w:t xml:space="preserve"> Corrado, Evelyn </w:t>
      </w:r>
      <w:proofErr w:type="spellStart"/>
      <w:r w:rsidRPr="00971CAC">
        <w:t>Regner</w:t>
      </w:r>
      <w:proofErr w:type="spellEnd"/>
      <w:r w:rsidRPr="00971CAC">
        <w:t>, Jean</w:t>
      </w:r>
      <w:r w:rsidRPr="00971CAC">
        <w:noBreakHyphen/>
        <w:t xml:space="preserve">Marc Germain, Marco </w:t>
      </w:r>
      <w:proofErr w:type="spellStart"/>
      <w:r w:rsidRPr="00971CAC">
        <w:t>Tarquinio</w:t>
      </w:r>
      <w:proofErr w:type="spellEnd"/>
      <w:r w:rsidRPr="00971CAC">
        <w:t xml:space="preserve">, Udo </w:t>
      </w:r>
      <w:proofErr w:type="spellStart"/>
      <w:r w:rsidRPr="00971CAC">
        <w:t>Bullmann</w:t>
      </w:r>
      <w:proofErr w:type="spellEnd"/>
      <w:r w:rsidRPr="00971CAC">
        <w:t>, Alessandro Zan</w:t>
      </w:r>
      <w:r w:rsidRPr="00971CAC">
        <w:rPr>
          <w:rStyle w:val="HideTWBExt"/>
          <w:b w:val="0"/>
        </w:rPr>
        <w:t>&lt;/Depute&gt;</w:t>
      </w:r>
    </w:p>
    <w:p w14:paraId="70D00E81" w14:textId="77777777" w:rsidR="00A43EB8" w:rsidRPr="00971CAC" w:rsidRDefault="00EC68A1" w:rsidP="00EC68A1">
      <w:pPr>
        <w:pStyle w:val="CoverNormal"/>
      </w:pPr>
      <w:r w:rsidRPr="00971CAC">
        <w:rPr>
          <w:rStyle w:val="HideTWBExt"/>
        </w:rPr>
        <w:t>&lt;/RepeatBlock-By&gt;</w:t>
      </w:r>
    </w:p>
    <w:p w14:paraId="78C96E49" w14:textId="77777777" w:rsidR="00A93F71" w:rsidRPr="00971CAC" w:rsidRDefault="00A93F71" w:rsidP="00A93F71">
      <w:pPr>
        <w:pStyle w:val="NormalBold12a"/>
      </w:pPr>
      <w:r w:rsidRPr="00971CAC">
        <w:br w:type="page"/>
      </w:r>
      <w:r w:rsidRPr="00971CAC">
        <w:lastRenderedPageBreak/>
        <w:t>B10</w:t>
      </w:r>
      <w:r w:rsidRPr="00971CAC">
        <w:noBreakHyphen/>
        <w:t>0315/2025</w:t>
      </w:r>
    </w:p>
    <w:p w14:paraId="6298D76F" w14:textId="77777777" w:rsidR="006405A7" w:rsidRPr="00971CAC" w:rsidRDefault="009E6DC8" w:rsidP="00D32C4B">
      <w:pPr>
        <w:pStyle w:val="NormalBold"/>
      </w:pPr>
      <w:r w:rsidRPr="00971CAC">
        <w:t>Résolution du Parlement européen sur le règlement délégué de la Commission du 10 juin 2025 modifiant le règlement délégué (UE) 2016/1675 de la Commission par l’ajout de l’Algérie, de l’Angola, de la Côte d’Ivoire, du Kenya, du Laos, du Liban, de Monaco, de la Namibie, du Népal et du Venezuela à la liste des pays tiers à haut risque qui ont pris un engagement écrit à haut niveau de remédier aux carences constatées et qui ont élaboré un plan d’action avec le GAFI, et par le retrait de cette liste de la Barbade, de Gibraltar, de la Jamaïque, du Panama, des Philippines, du Sénégal, de l’Ouganda et des Émirats arabes unis</w:t>
      </w:r>
    </w:p>
    <w:p w14:paraId="1C8DB357" w14:textId="77777777" w:rsidR="00A93F71" w:rsidRPr="00971CAC" w:rsidRDefault="009E6DC8" w:rsidP="00EC68A1">
      <w:pPr>
        <w:pStyle w:val="NormalBold"/>
      </w:pPr>
      <w:r w:rsidRPr="00971CAC">
        <w:t>(</w:t>
      </w:r>
      <w:proofErr w:type="gramStart"/>
      <w:r w:rsidRPr="00971CAC">
        <w:t>C(</w:t>
      </w:r>
      <w:proofErr w:type="gramEnd"/>
      <w:r w:rsidRPr="00971CAC">
        <w:t>2025)3815) – 2025/2740(DEA))</w:t>
      </w:r>
    </w:p>
    <w:p w14:paraId="0325C74F" w14:textId="77777777" w:rsidR="00EC68A1" w:rsidRPr="00971CAC" w:rsidRDefault="00EC68A1" w:rsidP="00EC68A1">
      <w:pPr>
        <w:spacing w:before="480" w:after="240"/>
        <w:rPr>
          <w:szCs w:val="24"/>
        </w:rPr>
      </w:pPr>
      <w:r w:rsidRPr="00971CAC">
        <w:rPr>
          <w:i/>
        </w:rPr>
        <w:t>Le Parlement européen</w:t>
      </w:r>
      <w:r w:rsidRPr="00971CAC">
        <w:t>,</w:t>
      </w:r>
    </w:p>
    <w:p w14:paraId="5B5BC5BD" w14:textId="77777777" w:rsidR="00EC68A1" w:rsidRPr="00971CAC" w:rsidRDefault="00EC68A1" w:rsidP="00EC68A1">
      <w:pPr>
        <w:pStyle w:val="NormalHanging12a"/>
      </w:pPr>
      <w:r w:rsidRPr="00971CAC">
        <w:t>–</w:t>
      </w:r>
      <w:r w:rsidRPr="00971CAC">
        <w:tab/>
        <w:t>vu le règlement délégué de la Commission (</w:t>
      </w:r>
      <w:proofErr w:type="gramStart"/>
      <w:r w:rsidRPr="00971CAC">
        <w:t>C(</w:t>
      </w:r>
      <w:proofErr w:type="gramEnd"/>
      <w:r w:rsidRPr="00971CAC">
        <w:t>2025)3815),</w:t>
      </w:r>
    </w:p>
    <w:p w14:paraId="6ABDCBA9" w14:textId="77777777" w:rsidR="00EC68A1" w:rsidRPr="00971CAC" w:rsidRDefault="00EC68A1" w:rsidP="00EC68A1">
      <w:pPr>
        <w:pStyle w:val="NormalHanging12a"/>
      </w:pPr>
      <w:r w:rsidRPr="00971CAC">
        <w:t>–</w:t>
      </w:r>
      <w:r w:rsidRPr="00971CAC">
        <w:tab/>
        <w:t>vu l’article 290 du traité sur le fonctionnement de l’Union européenne,</w:t>
      </w:r>
    </w:p>
    <w:p w14:paraId="0E3B07BC" w14:textId="77777777" w:rsidR="00EC68A1" w:rsidRPr="00971CAC" w:rsidRDefault="00EC68A1" w:rsidP="00EC68A1">
      <w:pPr>
        <w:pStyle w:val="NormalHanging12a"/>
      </w:pPr>
      <w:r w:rsidRPr="00971CAC">
        <w:t>–</w:t>
      </w:r>
      <w:r w:rsidRPr="00971CAC">
        <w:tab/>
        <w:t>vu la directive (UE) 2015/849 du Parlement européen et du Conseil du 20 mai 2015 relative à la prévention de l’utilisation du système financier aux fins du blanchiment de capitaux ou du financement du terrorisme, modifiant le règlement (UE) nº 648/2012 du Parlement européen et du Conseil et abrogeant la directive 2005/60/CE du Parlement européen et du Conseil et la directive 2006/70/CE de la Commission</w:t>
      </w:r>
      <w:r w:rsidRPr="00971CAC">
        <w:rPr>
          <w:vertAlign w:val="superscript"/>
        </w:rPr>
        <w:footnoteReference w:id="1"/>
      </w:r>
      <w:r w:rsidRPr="00971CAC">
        <w:t>, et en particulier son article 9, paragraphe 2, et son article 64, paragraphe 5,</w:t>
      </w:r>
    </w:p>
    <w:p w14:paraId="09A47C02" w14:textId="77777777" w:rsidR="00EC68A1" w:rsidRPr="00971CAC" w:rsidRDefault="00EC68A1" w:rsidP="00EC68A1">
      <w:pPr>
        <w:pStyle w:val="NormalHanging12a"/>
      </w:pPr>
      <w:r w:rsidRPr="00971CAC">
        <w:t>–</w:t>
      </w:r>
      <w:r w:rsidRPr="00971CAC">
        <w:tab/>
        <w:t>vu le règlement délégué (UE) 2016/1675 de la Commission du 14 juillet 2016 complétant la directive (UE) 2015/849 du Parlement européen et du Conseil par le recensement des pays tiers à haut risque présentant des carences stratégiques</w:t>
      </w:r>
      <w:r w:rsidRPr="00971CAC">
        <w:rPr>
          <w:rStyle w:val="FootnoteReference"/>
          <w:color w:val="000000"/>
          <w:szCs w:val="24"/>
        </w:rPr>
        <w:footnoteReference w:id="2"/>
      </w:r>
      <w:r w:rsidRPr="00971CAC">
        <w:t>, et notamment son annexe,</w:t>
      </w:r>
    </w:p>
    <w:p w14:paraId="063621DC" w14:textId="77777777" w:rsidR="00EC68A1" w:rsidRPr="00971CAC" w:rsidRDefault="00EC68A1" w:rsidP="00EC68A1">
      <w:pPr>
        <w:pStyle w:val="NormalHanging12a"/>
      </w:pPr>
      <w:r w:rsidRPr="00971CAC">
        <w:t>–</w:t>
      </w:r>
      <w:r w:rsidRPr="00971CAC">
        <w:tab/>
        <w:t>vu l’article 114, paragraphe 3, de son règlement intérieur,</w:t>
      </w:r>
    </w:p>
    <w:p w14:paraId="65BDB32F" w14:textId="77777777" w:rsidR="00EC68A1" w:rsidRPr="00971CAC" w:rsidRDefault="00EC68A1" w:rsidP="00EC68A1">
      <w:pPr>
        <w:pStyle w:val="NormalHanging12a"/>
      </w:pPr>
      <w:r w:rsidRPr="00971CAC">
        <w:t>A.</w:t>
      </w:r>
      <w:r w:rsidRPr="00971CAC">
        <w:tab/>
        <w:t>considérant que le règlement délégué (UE) 2016/1675 de la Commission, son annexe et le règlement délégué modificatif de la Commission du 10 juin 2025 recensent les pays tiers à haut risque présentant des carences stratégiques en matière de lutte contre le blanchiment de capitaux et le financement du terrorisme, qui représentent une menace pour le système financier de l’Union et requièrent de la part des entités assujetties de l’Union qu’elles appliquent des mesures de vigilance renforcée à l’égard de la clientèle en vertu de la directive (UE) 2015/849;</w:t>
      </w:r>
    </w:p>
    <w:p w14:paraId="3990101B" w14:textId="77777777" w:rsidR="00EC68A1" w:rsidRPr="00971CAC" w:rsidRDefault="00EC68A1" w:rsidP="00EC68A1">
      <w:pPr>
        <w:pStyle w:val="NormalHanging12a"/>
      </w:pPr>
      <w:r w:rsidRPr="00971CAC">
        <w:t>B.</w:t>
      </w:r>
      <w:r w:rsidRPr="00971CAC">
        <w:tab/>
        <w:t>considérant que, conformément à la méthode de 2020 de recensement des pays tiers à haut risque au titre de la directive (UE) 2015/849, telle qu’exposée dans le document de travail des services de la Commission du 7 mai 2020 (ci-après dénommée «la méthode de 2020»), la Commission peut s’appuyer dans une large mesure sur les évaluations des pays tiers réalisées par des organismes internationaux, tels que le Groupe d’action financière (GAFI), étant donné que l’évaluation du GAFI suit une procédure régulière fondée sur des critères objectifs et que les seuils spécifiques d’inscription sur la liste permettent de recenser les pays présentant des carences stratégiques très concrètes et profondes; qu’en principe, tout pays tiers représentant un risque pour le système financier international, tel que recensé par le GAFI, est présumé représenter un risque pour le marché intérieur;</w:t>
      </w:r>
    </w:p>
    <w:p w14:paraId="66C6A337" w14:textId="77777777" w:rsidR="00EC68A1" w:rsidRPr="00971CAC" w:rsidRDefault="00EC68A1" w:rsidP="00EC68A1">
      <w:pPr>
        <w:pStyle w:val="NormalHanging12a"/>
      </w:pPr>
      <w:r w:rsidRPr="00971CAC">
        <w:t>C.</w:t>
      </w:r>
      <w:r w:rsidRPr="00971CAC">
        <w:tab/>
        <w:t>considérant que l’évaluation de la Commission repose cependant sur un processus autonome, qui doit être mené de façon rigoureuse et impartiale et examiner tous les pays tiers suivant les mêmes critères, lesquels sont définis à l’article 9, paragraphe 2, de la directive (UE) 2015/</w:t>
      </w:r>
      <w:proofErr w:type="gramStart"/>
      <w:r w:rsidRPr="00971CAC">
        <w:t>849;</w:t>
      </w:r>
      <w:proofErr w:type="gramEnd"/>
    </w:p>
    <w:p w14:paraId="6D7052CA" w14:textId="77777777" w:rsidR="00EC68A1" w:rsidRPr="00971CAC" w:rsidRDefault="00EC68A1" w:rsidP="00EC68A1">
      <w:pPr>
        <w:pStyle w:val="NormalHanging12a"/>
      </w:pPr>
      <w:r w:rsidRPr="00971CAC">
        <w:t>D.</w:t>
      </w:r>
      <w:r w:rsidRPr="00971CAC">
        <w:tab/>
        <w:t xml:space="preserve">considérant que le Parlement attend de la Commission qu’elle procède à sa propre évaluation en tenant compte des vulnérabilités spécifiques du marché intérieur et qu’elle ne se fonde pas uniquement sur les évaluations réalisées par le </w:t>
      </w:r>
      <w:proofErr w:type="gramStart"/>
      <w:r w:rsidRPr="00971CAC">
        <w:t>GAFI;</w:t>
      </w:r>
      <w:proofErr w:type="gramEnd"/>
    </w:p>
    <w:p w14:paraId="0924F91C" w14:textId="77777777" w:rsidR="00EC68A1" w:rsidRPr="00971CAC" w:rsidRDefault="00EC68A1" w:rsidP="00EC68A1">
      <w:pPr>
        <w:pStyle w:val="NormalHanging12a"/>
      </w:pPr>
      <w:r w:rsidRPr="00971CAC">
        <w:t>E.</w:t>
      </w:r>
      <w:r w:rsidRPr="00971CAC">
        <w:tab/>
        <w:t>considérant que, selon la méthode de 2020, un pays tiers qui a été retiré de la liste par le GAFI reste sur la liste des pays tiers à haut risque de l’Union jusqu’à ce qu’il soit établi que ce pays tiers remplit les critères de l’Union pour être retiré de la liste; que cette procédure autonome suppose que, lorsque l’Union retire un pays tiers de la liste, il existe une garantie concrète que ce pays ne présente plus de risque spécifique élevé pour l’intégrité du marché intérieur de l’Union; que la rigueur de l’évaluation de la Commission doit être proportionnelle aux manquements constatés, d’une part, et à la mesure dans laquelle le marché intérieur est exposé au pays tiers en particulier, d’autre part;</w:t>
      </w:r>
    </w:p>
    <w:p w14:paraId="6A756609" w14:textId="77777777" w:rsidR="00EC68A1" w:rsidRPr="00971CAC" w:rsidRDefault="00EC68A1" w:rsidP="00EC68A1">
      <w:pPr>
        <w:pStyle w:val="NormalHanging12a"/>
      </w:pPr>
      <w:r w:rsidRPr="00971CAC">
        <w:t>F.</w:t>
      </w:r>
      <w:r w:rsidRPr="00971CAC">
        <w:tab/>
        <w:t>considérant que la violation des mesures restrictives de l’Union constitue une infraction principale au titre de la directive (UE) 2024/1226</w:t>
      </w:r>
      <w:r w:rsidRPr="00971CAC">
        <w:rPr>
          <w:rStyle w:val="FootnoteReference"/>
          <w:color w:val="000000"/>
          <w:szCs w:val="24"/>
        </w:rPr>
        <w:footnoteReference w:id="3"/>
      </w:r>
      <w:r w:rsidRPr="00971CAC">
        <w:t>;</w:t>
      </w:r>
    </w:p>
    <w:p w14:paraId="34D85052" w14:textId="77777777" w:rsidR="00EC68A1" w:rsidRPr="00971CAC" w:rsidRDefault="00EC68A1" w:rsidP="00EC68A1">
      <w:pPr>
        <w:pStyle w:val="NormalHanging12a"/>
      </w:pPr>
      <w:r w:rsidRPr="00971CAC">
        <w:t>G.</w:t>
      </w:r>
      <w:r w:rsidRPr="00971CAC">
        <w:tab/>
        <w:t>considérant que les Émirats arabes unis constituent une plateforme financière et commerciale mondiale majeure, qu’ils jouent un rôle géopolitique accru et qu’ils sont un partenaire économique important de l’Union; que l’Union et les Émirats arabes unis ont entamé des négociations de libre-échange dans le but de signer un accord de partenariat économique global, dans la perspective d’intensifier les relations en matière de commerce, d’investissement et de finances, ce qui aurait pour effet d’accroître l’exposition du marché intérieur de l’Union aux Émirats arabes unis;</w:t>
      </w:r>
    </w:p>
    <w:p w14:paraId="698E2697" w14:textId="77777777" w:rsidR="00EC68A1" w:rsidRPr="00971CAC" w:rsidRDefault="00EC68A1" w:rsidP="00EC68A1">
      <w:pPr>
        <w:pStyle w:val="NormalHanging12a"/>
      </w:pPr>
      <w:r w:rsidRPr="00971CAC">
        <w:t>H.</w:t>
      </w:r>
      <w:r w:rsidRPr="00971CAC">
        <w:tab/>
        <w:t xml:space="preserve">considérant que les Émirats arabes unis ont considérablement amélioré leur cadre juridique en matière de lutte contre le blanchiment de capitaux et que, le 23 février 2024, le GAFI a retiré les Émirats arabes unis de sa liste de pays faisant l’objet d’une surveillance renforcée, invoquant les progrès significatifs accomplis par les Émirats arabes unis dans l’amélioration de leur dispositif de lutte contre le blanchiment de capitaux et le financement du </w:t>
      </w:r>
      <w:proofErr w:type="gramStart"/>
      <w:r w:rsidRPr="00971CAC">
        <w:t>terrorisme;</w:t>
      </w:r>
      <w:proofErr w:type="gramEnd"/>
    </w:p>
    <w:p w14:paraId="0D6B4FAB" w14:textId="77777777" w:rsidR="00EC68A1" w:rsidRPr="00971CAC" w:rsidRDefault="00EC68A1" w:rsidP="00EC68A1">
      <w:pPr>
        <w:pStyle w:val="NormalHanging12a"/>
      </w:pPr>
      <w:r w:rsidRPr="00971CAC">
        <w:t>I.</w:t>
      </w:r>
      <w:r w:rsidRPr="00971CAC">
        <w:tab/>
        <w:t xml:space="preserve">considérant que la Commission et les Émirats arabes unis se sont engagés conjointement dans différents cycles de dialogues structurels sur la lutte contre le blanchiment de capitaux et le financement du terrorisme, ce qui a conduit à l’adoption, le 16 avril 2025, d’une liste d’engagements conjoints dans le domaine de la coopération en matière judiciaire et </w:t>
      </w:r>
      <w:proofErr w:type="gramStart"/>
      <w:r w:rsidRPr="00971CAC">
        <w:t>répressive;</w:t>
      </w:r>
      <w:proofErr w:type="gramEnd"/>
    </w:p>
    <w:p w14:paraId="68DBFA4E" w14:textId="77777777" w:rsidR="00EC68A1" w:rsidRPr="00971CAC" w:rsidRDefault="00EC68A1" w:rsidP="00EC68A1">
      <w:pPr>
        <w:pStyle w:val="NormalHanging12a"/>
      </w:pPr>
      <w:r w:rsidRPr="00971CAC">
        <w:t>J.</w:t>
      </w:r>
      <w:r w:rsidRPr="00971CAC">
        <w:tab/>
        <w:t>considérant que les Émirats arabes unis se sont engagés à mettre en œuvre une liste de mesures visant à améliorer encore la coopération judiciaire et répressive, notamment en renforçant la coopération avec les États membres, l’Agence de l’Union européenne pour la coopération judiciaire en matière pénale (Eurojust), l’Agence de l’Union européenne pour la coopération des services répressifs (Europol) et le Parquet européen; que si l’accord écrit entre les Émirats arabes unis et la Commission est porteur de progrès en matière de coopération et de dialogue, il ne contient pas de critères de référence spécifiques de l’Union que les Émirats arabes unis doivent remplir pour être retirés de la liste; que cette liste d’engagements reste vague, notamment en ce qui concerne l’échange d’informations entre les autorités compétentes sur les déclarations d’argent liquide suspectes, les biens immobiliers ou les bénéficiaires effectifs; que cette liste d’engagements n’aborde pas le commerce de l’or aux Émirats arabes unis ni l’exposition potentielle du pays aux zones de conflit; qu’on ne voit pas bien comment la Commission serait en mesure de suivre les progrès accomplis en ce qui concerne la liste d’engagements des Émirats arabes unis et quelles mesures elle pourrait prendre en cas de non-respect;</w:t>
      </w:r>
    </w:p>
    <w:p w14:paraId="5A1E8276" w14:textId="77777777" w:rsidR="00EC68A1" w:rsidRPr="00971CAC" w:rsidRDefault="00EC68A1" w:rsidP="00EC68A1">
      <w:pPr>
        <w:pStyle w:val="NormalHanging12a"/>
      </w:pPr>
      <w:r w:rsidRPr="00971CAC">
        <w:t>K.</w:t>
      </w:r>
      <w:r w:rsidRPr="00971CAC">
        <w:tab/>
        <w:t>considérant que la Commission n’a pas apporté la preuve concrète que les récentes réformes des Émirats arabes unis ont été effectivement mises en œuvre et se sont traduites par des progrès importants dans la lutte contre le blanchiment de capitaux et les activités de financement du terrorisme; que des lacunes majeures subsistent dans le cadre de lutte contre le blanchiment d’argent des Émirats arabes unis, notamment en ce qui concerne le manque d’accès du public au registre foncier et la faiblesse des exigences relatives aux bénéficiaires effectifs; que, bien que les Émirats arabes unis aient mis en place un registre des bénéficiaires effectifs, d’importantes failles subsistent, étant donné que les entreprises des zones franches financières telles que le marché mondial d’Abou Dhabi et le centre financier international de Dubaï sont exemptées et que le registre reste difficilement accessible aux tiers;</w:t>
      </w:r>
    </w:p>
    <w:p w14:paraId="5F7FD9EF" w14:textId="77777777" w:rsidR="00EC68A1" w:rsidRPr="00971CAC" w:rsidRDefault="00EC68A1" w:rsidP="00EC68A1">
      <w:pPr>
        <w:pStyle w:val="NormalHanging12a"/>
      </w:pPr>
      <w:r w:rsidRPr="00971CAC">
        <w:t>L.</w:t>
      </w:r>
      <w:r w:rsidRPr="00971CAC">
        <w:tab/>
        <w:t xml:space="preserve">considérant que, selon des informations récemment communiquées par des médias et des organisations de la société civile, les Émirats arabes unis demeurent une plateforme importante pour les flux financiers illicites et que les réformes menées jusqu’à présent par le pays ont été insuffisantes compte tenu des risques recensés dans le secteur immobilier; que les lacunes structurelles mises en évidence, entre autres, par les enquêtes de </w:t>
      </w:r>
      <w:proofErr w:type="spellStart"/>
      <w:r w:rsidRPr="00971CAC">
        <w:t>Dubai</w:t>
      </w:r>
      <w:proofErr w:type="spellEnd"/>
      <w:r w:rsidRPr="00971CAC">
        <w:t xml:space="preserve"> </w:t>
      </w:r>
      <w:proofErr w:type="spellStart"/>
      <w:r w:rsidRPr="00971CAC">
        <w:t>Unlocked</w:t>
      </w:r>
      <w:proofErr w:type="spellEnd"/>
      <w:r w:rsidRPr="00971CAC">
        <w:t>, publiées en mai 2024, continuent de faire des Émirats arabes unis une destination attrayante pour les criminels et une plateforme importante pour les flux financiers illicites, 200 personnes, dont des criminels présumés, des fugitifs, des personnalités politiques et des personnes sanctionnées possédant plus de 1 000 biens à Dubaï;</w:t>
      </w:r>
    </w:p>
    <w:p w14:paraId="46D88356" w14:textId="77777777" w:rsidR="00EC68A1" w:rsidRPr="00971CAC" w:rsidRDefault="00EC68A1" w:rsidP="00EC68A1">
      <w:pPr>
        <w:pStyle w:val="NormalHanging12a"/>
      </w:pPr>
      <w:r w:rsidRPr="00971CAC">
        <w:t>M.</w:t>
      </w:r>
      <w:r w:rsidRPr="00971CAC">
        <w:tab/>
        <w:t>considérant que la Commission n’a pas fourni de chiffres concrets sur le nombre d’extraditions demandées par les États membres aux Émirats arabes unis et sur le nombre d’extraditions effectivement réalisées et qu’elle n’a pu communiquer des informations au Parlement que sur un seul cas, ce qui montre que, malgré certains progrès, les extraditions auxquelles procèdent les Émirats arabes unis restent l’exception plutôt que la règle; qu’il existe des éléments crédibles indiquant que les Émirats arabes unis ne déploient toujours pas suffisamment d’efforts pour tenir compte des sanctions imposées à la Russie à la suite de l’agression militaire russe contre l’Ukraine, voire facilitent leur contournement, notamment en abritant des personnes faisant l’objet de sanctions financières ciblées;</w:t>
      </w:r>
    </w:p>
    <w:p w14:paraId="7B334817" w14:textId="77777777" w:rsidR="00EC68A1" w:rsidRPr="00971CAC" w:rsidRDefault="00EC68A1" w:rsidP="00EC68A1">
      <w:pPr>
        <w:pStyle w:val="NormalHanging12a"/>
      </w:pPr>
      <w:r w:rsidRPr="00971CAC">
        <w:t>N.</w:t>
      </w:r>
      <w:r w:rsidRPr="00971CAC">
        <w:tab/>
        <w:t xml:space="preserve">considérant que, selon le rapport S/2024/65 du 15 janvier 2024 du groupe d’experts des Nations unies sur le Soudan, des entités basées dans les Émirats arabes unis jouent un rôle dans le blanchiment de produits provenant de zones de conflit, notamment de mines d’or soudanaises; que le mandat du comité a été renouvelé en 2025; qu’en 2023, les Émirats arabes unis auraient importé 17 tonnes d’or du Soudan, pour une valeur supérieure à 1 milliard de dollars américains; que la Banque centrale du Soudan a indiqué qu’en 2024, près de 97 % des exportations officielles d’or (en provenance de zones détenues par les forces armées soudanaises) étaient destinées aux Émirats arabes unis, le gain s’élavant à 1,52 milliard de dollars américains; que, selon une étude de </w:t>
      </w:r>
      <w:proofErr w:type="spellStart"/>
      <w:r w:rsidRPr="00971CAC">
        <w:t>SwissAid</w:t>
      </w:r>
      <w:proofErr w:type="spellEnd"/>
      <w:r w:rsidRPr="00971CAC">
        <w:t>, 2 596 tonnes d’or non déclarées à l’exportation ont été importées d’Afrique vers les Émirats arabes unis entre 2012 et 2022; que la Commission affirme suivre de près l’évolution de la situation aux Émirats arabes unis en ce qui concerne les mesures prises pour lutter contre les risques de blanchiment de capitaux liés au commerce de l’or;</w:t>
      </w:r>
    </w:p>
    <w:p w14:paraId="79618FFD" w14:textId="77777777" w:rsidR="00EC68A1" w:rsidRPr="00971CAC" w:rsidRDefault="00EC68A1" w:rsidP="00EC68A1">
      <w:pPr>
        <w:pStyle w:val="NormalHanging12a"/>
      </w:pPr>
      <w:r w:rsidRPr="00971CAC">
        <w:t>O.</w:t>
      </w:r>
      <w:r w:rsidRPr="00971CAC">
        <w:tab/>
        <w:t>considérant que le Parlement prend acte et se félicite des améliorations manifestes apportées au cadre de lutte contre le blanchiment de capitaux et le financement du terrorisme aux Émirats arabes unis; que ces améliorations se sont accélérées depuis l’année dernière, notamment en ce qui concerne la volonté politique d’améliorer la coopération et l’échange d’informations entre les autorités compétentes, mais qu’elles pourraient toutefois ne pas être suffisantes pour veiller à ce que le retrait des Émirats arabes unis de la liste des pays tiers à haut risque de l’Union ne compromette pas l’intégrité du marché financier de l’Union; qu’une évaluation plus approfondie des risques et des réformes efficaces menées par les Émirats arabes unis est nécessaire avant de retirer le pays de la liste; que d’autres critères de référence de l’Union, tels que ceux utilisés par la Commission en ce qui concerne d’autres juridictions, devraient être appliqués avant de retirer les Émirats arabes unis de la liste;</w:t>
      </w:r>
    </w:p>
    <w:p w14:paraId="2EDDE402" w14:textId="77777777" w:rsidR="00EC68A1" w:rsidRPr="00971CAC" w:rsidRDefault="00EC68A1" w:rsidP="00EC68A1">
      <w:pPr>
        <w:pStyle w:val="NormalHanging12a"/>
      </w:pPr>
      <w:r w:rsidRPr="00971CAC">
        <w:t>P.</w:t>
      </w:r>
      <w:r w:rsidRPr="00971CAC">
        <w:tab/>
        <w:t xml:space="preserve">considérant qu’à la suite de l’invasion à grande échelle de l’Ukraine par la Russie, des discussions ont eu lieu au sujet de l’inscription de la Russie sur la liste du GAFI; qu’en 2023, le GAFI a pris l’initiative sans précédent de suspendre la Russie en tant que membre du groupe; qu’en 2024, le GAFI a fait part de ses préoccupations quant à la connectivité financière croissante entre la Russie et les juridictions faisant l’objet de contre-mesures du groupe, aux risques de financement de la prolifération, aux actes de </w:t>
      </w:r>
      <w:proofErr w:type="spellStart"/>
      <w:r w:rsidRPr="00971CAC">
        <w:t>cybermalveillance</w:t>
      </w:r>
      <w:proofErr w:type="spellEnd"/>
      <w:r w:rsidRPr="00971CAC">
        <w:t xml:space="preserve"> et aux attaques par rançongiciel; que, depuis le début de la guerre contre l’Ukraine, il n’y a pas eu de coopération constructive avec les autorités russes compétentes;</w:t>
      </w:r>
    </w:p>
    <w:p w14:paraId="1180E763" w14:textId="77777777" w:rsidR="00EC68A1" w:rsidRPr="00971CAC" w:rsidRDefault="00EC68A1" w:rsidP="00EC68A1">
      <w:pPr>
        <w:pStyle w:val="NormalHanging12a"/>
      </w:pPr>
      <w:r w:rsidRPr="00971CAC">
        <w:t>Q.</w:t>
      </w:r>
      <w:r w:rsidRPr="00971CAC">
        <w:tab/>
        <w:t>considérant que le Parlement déplore que, malgré des preuves solides des carences stratégiques du cadre russe de lutte contre le blanchiment de capitaux et le financement du terrorisme et en dépit des niveaux endémiques de corruption et de criminalité organisée enracinée jusque dans les structures de l’État en Russie dont il est rendu compte, la Commission n’ait toujours pas décidé d’inscrire la Russie sur la liste; qu’une part importante du secteur financier russe fait l’objet de sanctions financières de l’Union;</w:t>
      </w:r>
    </w:p>
    <w:p w14:paraId="19397F75" w14:textId="77777777" w:rsidR="00EC68A1" w:rsidRPr="00971CAC" w:rsidRDefault="00EC68A1" w:rsidP="00EC68A1">
      <w:pPr>
        <w:pStyle w:val="NormalHanging12a"/>
      </w:pPr>
      <w:r w:rsidRPr="00971CAC">
        <w:t>R.</w:t>
      </w:r>
      <w:r w:rsidRPr="00971CAC">
        <w:tab/>
        <w:t>considérant que la Commission a décidé de regrouper les pays à inscrire sur la liste et à retirer de la liste dans un seul acte délégué; que cette approche empêche le Parlement d’évaluer chaque pays sur la base de ses mérites propres et suppose que certains pays seraient injustement touchés par le rejet de l’acte délégué; que le Parlement recommande à la Commission d’envisager la possibilité de passer à une approche pays par pays pour les futures mises à jour de la liste, plutôt que de proposer des actes délégués modifiant le règlement (UE) 2016/1675 par l’ajout en bloc de plusieurs pays à la liste ou le retrait en bloc de plusieurs pays de la liste;</w:t>
      </w:r>
    </w:p>
    <w:p w14:paraId="4DDB71B6" w14:textId="77777777" w:rsidR="00EC68A1" w:rsidRPr="00971CAC" w:rsidRDefault="00EC68A1" w:rsidP="00EC68A1">
      <w:pPr>
        <w:pStyle w:val="NormalHanging12a"/>
      </w:pPr>
      <w:r w:rsidRPr="00971CAC">
        <w:t>1.</w:t>
      </w:r>
      <w:r w:rsidRPr="00971CAC">
        <w:tab/>
        <w:t xml:space="preserve">fait objection au règlement délégué de la </w:t>
      </w:r>
      <w:proofErr w:type="gramStart"/>
      <w:r w:rsidRPr="00971CAC">
        <w:t>Commission;</w:t>
      </w:r>
      <w:proofErr w:type="gramEnd"/>
    </w:p>
    <w:p w14:paraId="76A63485" w14:textId="77777777" w:rsidR="00EC68A1" w:rsidRPr="00971CAC" w:rsidRDefault="00EC68A1" w:rsidP="00EC68A1">
      <w:pPr>
        <w:pStyle w:val="NormalHanging12a"/>
      </w:pPr>
      <w:r w:rsidRPr="00971CAC">
        <w:t>2.</w:t>
      </w:r>
      <w:r w:rsidRPr="00971CAC">
        <w:tab/>
        <w:t xml:space="preserve">charge sa Présidente de transmettre la présente résolution à la Commission et de l’informer que le règlement délégué ne peut entrer en </w:t>
      </w:r>
      <w:proofErr w:type="gramStart"/>
      <w:r w:rsidRPr="00971CAC">
        <w:t>vigueur;</w:t>
      </w:r>
      <w:proofErr w:type="gramEnd"/>
    </w:p>
    <w:p w14:paraId="6139D79D" w14:textId="77777777" w:rsidR="00EC68A1" w:rsidRPr="00971CAC" w:rsidRDefault="00EC68A1" w:rsidP="00EC68A1">
      <w:pPr>
        <w:pStyle w:val="NormalHanging12a"/>
      </w:pPr>
      <w:r w:rsidRPr="00971CAC">
        <w:t>3.</w:t>
      </w:r>
      <w:r w:rsidRPr="00971CAC">
        <w:tab/>
        <w:t>demande à la Commission de soumettre un nouvel acte délégué qui tienne compte des préoccupations exprimées ci-</w:t>
      </w:r>
      <w:proofErr w:type="gramStart"/>
      <w:r w:rsidRPr="00971CAC">
        <w:t>dessus;</w:t>
      </w:r>
      <w:proofErr w:type="gramEnd"/>
    </w:p>
    <w:p w14:paraId="03118146" w14:textId="77777777" w:rsidR="00F6637E" w:rsidRPr="00971CAC" w:rsidRDefault="00EC68A1" w:rsidP="00EC68A1">
      <w:pPr>
        <w:pStyle w:val="NormalHanging12a"/>
      </w:pPr>
      <w:r w:rsidRPr="00971CAC">
        <w:t>4.</w:t>
      </w:r>
      <w:r w:rsidRPr="00971CAC">
        <w:tab/>
        <w:t>charge sa Présidente de transmettre la présente résolution au Conseil ainsi qu’aux gouvernements et aux parlements des États membres.</w:t>
      </w:r>
    </w:p>
    <w:sectPr w:rsidR="00F6637E" w:rsidRPr="00971CAC" w:rsidSect="00971CA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F352B" w14:textId="77777777" w:rsidR="009E6DC8" w:rsidRPr="00971CAC" w:rsidRDefault="009E6DC8">
      <w:r w:rsidRPr="00971CAC">
        <w:separator/>
      </w:r>
    </w:p>
  </w:endnote>
  <w:endnote w:type="continuationSeparator" w:id="0">
    <w:p w14:paraId="76F89070" w14:textId="77777777" w:rsidR="009E6DC8" w:rsidRPr="00971CAC" w:rsidRDefault="009E6DC8">
      <w:r w:rsidRPr="00971C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56C18" w14:textId="77777777" w:rsidR="00971CAC" w:rsidRPr="00971CAC" w:rsidRDefault="00971CAC" w:rsidP="00971CAC">
    <w:pPr>
      <w:pStyle w:val="EPFooter"/>
    </w:pPr>
    <w:r w:rsidRPr="00971CAC">
      <w:t>PE</w:t>
    </w:r>
    <w:r w:rsidRPr="00971CAC">
      <w:rPr>
        <w:rStyle w:val="HideTWBExt"/>
      </w:rPr>
      <w:t>&lt;NoPE&gt;</w:t>
    </w:r>
    <w:r w:rsidRPr="00971CAC">
      <w:t>774.011</w:t>
    </w:r>
    <w:r w:rsidRPr="00971CAC">
      <w:rPr>
        <w:rStyle w:val="HideTWBExt"/>
      </w:rPr>
      <w:t>&lt;/NoPE&gt;&lt;Version&gt;</w:t>
    </w:r>
    <w:r w:rsidRPr="00971CAC">
      <w:t>v01-00</w:t>
    </w:r>
    <w:r w:rsidRPr="00971CAC">
      <w:rPr>
        <w:rStyle w:val="HideTWBExt"/>
      </w:rPr>
      <w:t>&lt;/Version&gt;</w:t>
    </w:r>
    <w:r w:rsidRPr="00971CAC">
      <w:tab/>
    </w:r>
    <w:r w:rsidRPr="00971CAC">
      <w:fldChar w:fldCharType="begin"/>
    </w:r>
    <w:r w:rsidRPr="00971CAC">
      <w:instrText xml:space="preserve"> PAGE  \* MERGEFORMAT </w:instrText>
    </w:r>
    <w:r w:rsidRPr="00971CAC">
      <w:fldChar w:fldCharType="separate"/>
    </w:r>
    <w:r w:rsidRPr="00971CAC">
      <w:rPr>
        <w:noProof/>
      </w:rPr>
      <w:t>6</w:t>
    </w:r>
    <w:r w:rsidRPr="00971CAC">
      <w:fldChar w:fldCharType="end"/>
    </w:r>
    <w:r w:rsidRPr="00971CAC">
      <w:t>/</w:t>
    </w:r>
    <w:fldSimple w:instr=" NUMPAGES  \* MERGEFORMAT ">
      <w:r w:rsidRPr="00971CAC">
        <w:rPr>
          <w:noProof/>
        </w:rPr>
        <w:t>6</w:t>
      </w:r>
    </w:fldSimple>
    <w:r w:rsidRPr="00971CAC">
      <w:tab/>
    </w:r>
    <w:r w:rsidRPr="00971CAC">
      <w:rPr>
        <w:rStyle w:val="HideTWBExt"/>
      </w:rPr>
      <w:t>&lt;PathFdR&gt;</w:t>
    </w:r>
    <w:r w:rsidRPr="00971CAC">
      <w:t>RE\1324488FR.docx</w:t>
    </w:r>
    <w:r w:rsidRPr="00971CAC">
      <w:rPr>
        <w:rStyle w:val="HideTWBExt"/>
      </w:rPr>
      <w:t>&lt;/PathFdR&gt;</w:t>
    </w:r>
  </w:p>
  <w:p w14:paraId="5BA4B366" w14:textId="7DB42DDD" w:rsidR="000C7B89" w:rsidRPr="00971CAC" w:rsidRDefault="00971CAC" w:rsidP="00971CAC">
    <w:pPr>
      <w:pStyle w:val="EPFooter2"/>
    </w:pPr>
    <w:r w:rsidRPr="00971CAC">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E6D18" w14:textId="77777777" w:rsidR="00971CAC" w:rsidRPr="00971CAC" w:rsidRDefault="00971CAC" w:rsidP="00971CAC">
    <w:pPr>
      <w:pStyle w:val="EPFooter"/>
    </w:pPr>
    <w:r w:rsidRPr="00971CAC">
      <w:rPr>
        <w:rStyle w:val="HideTWBExt"/>
      </w:rPr>
      <w:t>&lt;PathFdR&gt;</w:t>
    </w:r>
    <w:r w:rsidRPr="00971CAC">
      <w:t>RE\1324488FR.docx</w:t>
    </w:r>
    <w:r w:rsidRPr="00971CAC">
      <w:rPr>
        <w:rStyle w:val="HideTWBExt"/>
      </w:rPr>
      <w:t>&lt;/PathFdR&gt;</w:t>
    </w:r>
    <w:r w:rsidRPr="00971CAC">
      <w:tab/>
    </w:r>
    <w:r w:rsidRPr="00971CAC">
      <w:fldChar w:fldCharType="begin"/>
    </w:r>
    <w:r w:rsidRPr="00971CAC">
      <w:instrText xml:space="preserve"> PAGE  \* MERGEFORMAT </w:instrText>
    </w:r>
    <w:r w:rsidRPr="00971CAC">
      <w:fldChar w:fldCharType="separate"/>
    </w:r>
    <w:r w:rsidRPr="00971CAC">
      <w:rPr>
        <w:noProof/>
      </w:rPr>
      <w:t>5</w:t>
    </w:r>
    <w:r w:rsidRPr="00971CAC">
      <w:fldChar w:fldCharType="end"/>
    </w:r>
    <w:r w:rsidRPr="00971CAC">
      <w:t>/</w:t>
    </w:r>
    <w:fldSimple w:instr=" NUMPAGES  \* MERGEFORMAT ">
      <w:r w:rsidRPr="00971CAC">
        <w:rPr>
          <w:noProof/>
        </w:rPr>
        <w:t>6</w:t>
      </w:r>
    </w:fldSimple>
    <w:r w:rsidRPr="00971CAC">
      <w:tab/>
      <w:t>PE</w:t>
    </w:r>
    <w:r w:rsidRPr="00971CAC">
      <w:rPr>
        <w:rStyle w:val="HideTWBExt"/>
      </w:rPr>
      <w:t>&lt;NoPE&gt;</w:t>
    </w:r>
    <w:r w:rsidRPr="00971CAC">
      <w:t>774.011</w:t>
    </w:r>
    <w:r w:rsidRPr="00971CAC">
      <w:rPr>
        <w:rStyle w:val="HideTWBExt"/>
      </w:rPr>
      <w:t>&lt;/NoPE&gt;&lt;Version&gt;</w:t>
    </w:r>
    <w:r w:rsidRPr="00971CAC">
      <w:t>v01-00</w:t>
    </w:r>
    <w:r w:rsidRPr="00971CAC">
      <w:rPr>
        <w:rStyle w:val="HideTWBExt"/>
      </w:rPr>
      <w:t>&lt;/Version&gt;</w:t>
    </w:r>
  </w:p>
  <w:p w14:paraId="4C062218" w14:textId="1771B10E" w:rsidR="000C7B89" w:rsidRPr="00971CAC" w:rsidRDefault="00971CAC" w:rsidP="00971CAC">
    <w:pPr>
      <w:pStyle w:val="EPFooter2"/>
    </w:pPr>
    <w:r w:rsidRPr="00971CAC">
      <w:tab/>
    </w:r>
    <w:r w:rsidRPr="00971CAC">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3304B" w14:textId="77777777" w:rsidR="00971CAC" w:rsidRPr="00971CAC" w:rsidRDefault="00971CAC" w:rsidP="00971CAC">
    <w:pPr>
      <w:pStyle w:val="EPFooter"/>
    </w:pPr>
    <w:r w:rsidRPr="00971CAC">
      <w:rPr>
        <w:rStyle w:val="HideTWBExt"/>
      </w:rPr>
      <w:t>&lt;PathFdR&gt;</w:t>
    </w:r>
    <w:r w:rsidRPr="00971CAC">
      <w:t>RE\1324488FR.docx</w:t>
    </w:r>
    <w:r w:rsidRPr="00971CAC">
      <w:rPr>
        <w:rStyle w:val="HideTWBExt"/>
      </w:rPr>
      <w:t>&lt;/PathFdR&gt;</w:t>
    </w:r>
    <w:r w:rsidRPr="00971CAC">
      <w:tab/>
    </w:r>
    <w:r w:rsidRPr="00971CAC">
      <w:tab/>
      <w:t>PE</w:t>
    </w:r>
    <w:r w:rsidRPr="00971CAC">
      <w:rPr>
        <w:rStyle w:val="HideTWBExt"/>
      </w:rPr>
      <w:t>&lt;NoPE&gt;</w:t>
    </w:r>
    <w:r w:rsidRPr="00971CAC">
      <w:t>774.011</w:t>
    </w:r>
    <w:r w:rsidRPr="00971CAC">
      <w:rPr>
        <w:rStyle w:val="HideTWBExt"/>
      </w:rPr>
      <w:t>&lt;/NoPE&gt;&lt;Version&gt;</w:t>
    </w:r>
    <w:r w:rsidRPr="00971CAC">
      <w:t>v01-00</w:t>
    </w:r>
    <w:r w:rsidRPr="00971CAC">
      <w:rPr>
        <w:rStyle w:val="HideTWBExt"/>
      </w:rPr>
      <w:t>&lt;/Version&gt;</w:t>
    </w:r>
  </w:p>
  <w:p w14:paraId="6657600F" w14:textId="3150BF51" w:rsidR="000C7B89" w:rsidRPr="00971CAC" w:rsidRDefault="00971CAC" w:rsidP="00971CAC">
    <w:pPr>
      <w:pStyle w:val="EPFooter2"/>
    </w:pPr>
    <w:r w:rsidRPr="00971CAC">
      <w:t>FR</w:t>
    </w:r>
    <w:r w:rsidRPr="00971CAC">
      <w:tab/>
    </w:r>
    <w:r w:rsidRPr="00971CAC">
      <w:rPr>
        <w:b w:val="0"/>
        <w:i/>
        <w:color w:val="C0C0C0"/>
        <w:sz w:val="22"/>
      </w:rPr>
      <w:t>Unie dans la diversité</w:t>
    </w:r>
    <w:r w:rsidRPr="00971CAC">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09B82" w14:textId="77777777" w:rsidR="009E6DC8" w:rsidRPr="00971CAC" w:rsidRDefault="009E6DC8">
      <w:r w:rsidRPr="00971CAC">
        <w:separator/>
      </w:r>
    </w:p>
  </w:footnote>
  <w:footnote w:type="continuationSeparator" w:id="0">
    <w:p w14:paraId="092EC489" w14:textId="77777777" w:rsidR="009E6DC8" w:rsidRPr="00971CAC" w:rsidRDefault="009E6DC8">
      <w:r w:rsidRPr="00971CAC">
        <w:continuationSeparator/>
      </w:r>
    </w:p>
  </w:footnote>
  <w:footnote w:id="1">
    <w:p w14:paraId="47312B0D" w14:textId="5EA24683" w:rsidR="00EC68A1" w:rsidRPr="00971CAC" w:rsidRDefault="00EC68A1" w:rsidP="00EC68A1">
      <w:pPr>
        <w:pStyle w:val="FootnoteText"/>
      </w:pPr>
      <w:r w:rsidRPr="00971CAC">
        <w:rPr>
          <w:rStyle w:val="FootnoteReference"/>
        </w:rPr>
        <w:footnoteRef/>
      </w:r>
      <w:r w:rsidRPr="00971CAC">
        <w:tab/>
        <w:t xml:space="preserve">JO L 141 du 5.6.2015, p. 73, </w:t>
      </w:r>
      <w:proofErr w:type="gramStart"/>
      <w:r w:rsidRPr="00971CAC">
        <w:t>ELI:</w:t>
      </w:r>
      <w:proofErr w:type="gramEnd"/>
      <w:r w:rsidRPr="00971CAC">
        <w:t xml:space="preserve"> http://data.europa.eu/eli/dir/2015/849/oj</w:t>
      </w:r>
      <w:r w:rsidR="000706E6">
        <w:t>.</w:t>
      </w:r>
    </w:p>
  </w:footnote>
  <w:footnote w:id="2">
    <w:p w14:paraId="444D723B" w14:textId="1277E7A2" w:rsidR="00EC68A1" w:rsidRPr="00971CAC" w:rsidRDefault="00EC68A1" w:rsidP="00EC68A1">
      <w:pPr>
        <w:pStyle w:val="FootnoteText"/>
      </w:pPr>
      <w:r w:rsidRPr="00971CAC">
        <w:rPr>
          <w:rStyle w:val="FootnoteReference"/>
        </w:rPr>
        <w:footnoteRef/>
      </w:r>
      <w:r w:rsidRPr="00971CAC">
        <w:tab/>
        <w:t xml:space="preserve">JO L 254 du 20.9.2016, p. 1, </w:t>
      </w:r>
      <w:proofErr w:type="gramStart"/>
      <w:r w:rsidRPr="00971CAC">
        <w:t>ELI:</w:t>
      </w:r>
      <w:proofErr w:type="gramEnd"/>
      <w:r w:rsidRPr="00971CAC">
        <w:t xml:space="preserve"> http://data.europa.eu/eli/reg_del/2016/1675/oj</w:t>
      </w:r>
      <w:r w:rsidR="000706E6">
        <w:t>.</w:t>
      </w:r>
    </w:p>
  </w:footnote>
  <w:footnote w:id="3">
    <w:p w14:paraId="6A241979" w14:textId="52946C7B" w:rsidR="00EC68A1" w:rsidRPr="000706E6" w:rsidRDefault="00EC68A1" w:rsidP="00EC68A1">
      <w:pPr>
        <w:pStyle w:val="FootnoteText"/>
        <w:rPr>
          <w:sz w:val="24"/>
          <w:szCs w:val="24"/>
          <w:lang w:val="fi-FI"/>
        </w:rPr>
      </w:pPr>
      <w:r w:rsidRPr="00971CAC">
        <w:rPr>
          <w:rStyle w:val="FootnoteReference"/>
        </w:rPr>
        <w:footnoteRef/>
      </w:r>
      <w:r w:rsidR="000706E6" w:rsidRPr="000706E6">
        <w:rPr>
          <w:rStyle w:val="Emphasis"/>
          <w:color w:val="333333"/>
          <w:sz w:val="24"/>
          <w:shd w:val="clear" w:color="auto" w:fill="FFFFFF"/>
          <w:lang w:val="fi-FI"/>
        </w:rPr>
        <w:t xml:space="preserve"> </w:t>
      </w:r>
      <w:r w:rsidRPr="000706E6">
        <w:rPr>
          <w:rStyle w:val="Emphasis"/>
          <w:i w:val="0"/>
          <w:iCs w:val="0"/>
          <w:color w:val="333333"/>
          <w:shd w:val="clear" w:color="auto" w:fill="FFFFFF"/>
          <w:lang w:val="fi-FI"/>
        </w:rPr>
        <w:t>JO L, 2024/1226, 29.4.2024, ELI</w:t>
      </w:r>
      <w:r w:rsidRPr="000706E6">
        <w:rPr>
          <w:rStyle w:val="Emphasis"/>
          <w:color w:val="333333"/>
          <w:shd w:val="clear" w:color="auto" w:fill="FFFFFF"/>
          <w:lang w:val="fi-FI"/>
        </w:rPr>
        <w:t>: </w:t>
      </w:r>
      <w:hyperlink r:id="rId1" w:history="1">
        <w:r w:rsidR="000706E6" w:rsidRPr="000706E6">
          <w:rPr>
            <w:rStyle w:val="Hyperlink"/>
            <w:color w:val="auto"/>
            <w:u w:val="none"/>
            <w:lang w:val="fi-FI"/>
          </w:rPr>
          <w:t>http://data.europa.eu/eli/dir/2024/1226/oj</w:t>
        </w:r>
      </w:hyperlink>
      <w:r w:rsidR="000706E6" w:rsidRPr="000706E6">
        <w:rPr>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692A5" w14:textId="77777777" w:rsidR="000706E6" w:rsidRDefault="000706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5CD54" w14:textId="77777777" w:rsidR="000706E6" w:rsidRDefault="000706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0AFFA" w14:textId="77777777" w:rsidR="000706E6" w:rsidRDefault="000706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EE801F1"/>
    <w:multiLevelType w:val="multilevel"/>
    <w:tmpl w:val="30F6C5F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72B2788A"/>
    <w:multiLevelType w:val="multilevel"/>
    <w:tmpl w:val="490EFF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46493991">
    <w:abstractNumId w:val="9"/>
  </w:num>
  <w:num w:numId="2" w16cid:durableId="174268963">
    <w:abstractNumId w:val="9"/>
  </w:num>
  <w:num w:numId="3" w16cid:durableId="2005205576">
    <w:abstractNumId w:val="7"/>
  </w:num>
  <w:num w:numId="4" w16cid:durableId="1203782725">
    <w:abstractNumId w:val="7"/>
  </w:num>
  <w:num w:numId="5" w16cid:durableId="2100367673">
    <w:abstractNumId w:val="6"/>
  </w:num>
  <w:num w:numId="6" w16cid:durableId="1125387023">
    <w:abstractNumId w:val="6"/>
  </w:num>
  <w:num w:numId="7" w16cid:durableId="1974677500">
    <w:abstractNumId w:val="5"/>
  </w:num>
  <w:num w:numId="8" w16cid:durableId="1980262176">
    <w:abstractNumId w:val="5"/>
  </w:num>
  <w:num w:numId="9" w16cid:durableId="939995873">
    <w:abstractNumId w:val="4"/>
  </w:num>
  <w:num w:numId="10" w16cid:durableId="594359589">
    <w:abstractNumId w:val="4"/>
  </w:num>
  <w:num w:numId="11" w16cid:durableId="245311560">
    <w:abstractNumId w:val="8"/>
  </w:num>
  <w:num w:numId="12" w16cid:durableId="864950512">
    <w:abstractNumId w:val="8"/>
  </w:num>
  <w:num w:numId="13" w16cid:durableId="1845244519">
    <w:abstractNumId w:val="3"/>
  </w:num>
  <w:num w:numId="14" w16cid:durableId="1600330569">
    <w:abstractNumId w:val="3"/>
  </w:num>
  <w:num w:numId="15" w16cid:durableId="1487281557">
    <w:abstractNumId w:val="2"/>
  </w:num>
  <w:num w:numId="16" w16cid:durableId="1511681704">
    <w:abstractNumId w:val="2"/>
  </w:num>
  <w:num w:numId="17" w16cid:durableId="976495253">
    <w:abstractNumId w:val="1"/>
  </w:num>
  <w:num w:numId="18" w16cid:durableId="1263412323">
    <w:abstractNumId w:val="1"/>
  </w:num>
  <w:num w:numId="19" w16cid:durableId="398794783">
    <w:abstractNumId w:val="0"/>
  </w:num>
  <w:num w:numId="20" w16cid:durableId="1288700297">
    <w:abstractNumId w:val="0"/>
  </w:num>
  <w:num w:numId="21" w16cid:durableId="647704366">
    <w:abstractNumId w:val="9"/>
  </w:num>
  <w:num w:numId="22" w16cid:durableId="2055808713">
    <w:abstractNumId w:val="7"/>
  </w:num>
  <w:num w:numId="23" w16cid:durableId="28914873">
    <w:abstractNumId w:val="6"/>
  </w:num>
  <w:num w:numId="24" w16cid:durableId="74474736">
    <w:abstractNumId w:val="5"/>
  </w:num>
  <w:num w:numId="25" w16cid:durableId="1864977516">
    <w:abstractNumId w:val="4"/>
  </w:num>
  <w:num w:numId="26" w16cid:durableId="138378015">
    <w:abstractNumId w:val="8"/>
  </w:num>
  <w:num w:numId="27" w16cid:durableId="1831558775">
    <w:abstractNumId w:val="3"/>
  </w:num>
  <w:num w:numId="28" w16cid:durableId="71778662">
    <w:abstractNumId w:val="2"/>
  </w:num>
  <w:num w:numId="29" w16cid:durableId="1262252375">
    <w:abstractNumId w:val="1"/>
  </w:num>
  <w:num w:numId="30" w16cid:durableId="1071192144">
    <w:abstractNumId w:val="0"/>
  </w:num>
  <w:num w:numId="31" w16cid:durableId="638918211">
    <w:abstractNumId w:val="9"/>
  </w:num>
  <w:num w:numId="32" w16cid:durableId="4551778">
    <w:abstractNumId w:val="7"/>
  </w:num>
  <w:num w:numId="33" w16cid:durableId="1872573785">
    <w:abstractNumId w:val="6"/>
  </w:num>
  <w:num w:numId="34" w16cid:durableId="784420771">
    <w:abstractNumId w:val="5"/>
  </w:num>
  <w:num w:numId="35" w16cid:durableId="981733374">
    <w:abstractNumId w:val="4"/>
  </w:num>
  <w:num w:numId="36" w16cid:durableId="743994774">
    <w:abstractNumId w:val="8"/>
  </w:num>
  <w:num w:numId="37" w16cid:durableId="1754818610">
    <w:abstractNumId w:val="3"/>
  </w:num>
  <w:num w:numId="38" w16cid:durableId="1080904166">
    <w:abstractNumId w:val="2"/>
  </w:num>
  <w:num w:numId="39" w16cid:durableId="270288493">
    <w:abstractNumId w:val="1"/>
  </w:num>
  <w:num w:numId="40" w16cid:durableId="2098595163">
    <w:abstractNumId w:val="0"/>
  </w:num>
  <w:num w:numId="41" w16cid:durableId="172889237">
    <w:abstractNumId w:val="11"/>
  </w:num>
  <w:num w:numId="42" w16cid:durableId="6928766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ONMNU" w:val=" 2"/>
    <w:docVar w:name="ACTMNU" w:val=" 1"/>
    <w:docVar w:name="COMGROUPMNU" w:val=" 2"/>
    <w:docVar w:name="DELACTDT" w:val="10/06/2025"/>
    <w:docVar w:name="DOCMNU" w:val=" 1"/>
    <w:docVar w:name="DOCTYPEMNU" w:val="2"/>
    <w:docVar w:name="INSTMNU" w:val=" 1"/>
    <w:docVar w:name="LastEditedSection" w:val=" 1"/>
    <w:docVar w:name="SERIALNRMNU" w:val=" 2"/>
    <w:docVar w:name="strDocTypeID" w:val="RD_DelAct_Objections"/>
    <w:docVar w:name="strSubDir" w:val="1324"/>
    <w:docVar w:name="TXTFNELI" w:val=" "/>
    <w:docVar w:name="TXTLANGUE" w:val="EN"/>
    <w:docVar w:name="TXTLANGUEMIN" w:val="en"/>
    <w:docVar w:name="TXTNRB" w:val="0315/2025"/>
    <w:docVar w:name="TXTNRC" w:val="(2025)3815)"/>
    <w:docVar w:name="TXTNRDEA" w:val="2025/2740"/>
    <w:docVar w:name="TXTNRDELREG" w:val="(EU 2016/1675)"/>
    <w:docVar w:name="TXTNRPE" w:val="774.011"/>
    <w:docVar w:name="TXTPEorAP" w:val="PE"/>
    <w:docVar w:name="TXTROUTE" w:val="RE\1324488EN.docx"/>
    <w:docVar w:name="TXTTITLE" w:val="to add Algeria, Angola, Côte d’Ivoire, Kenya, Laos, Lebanon, Monaco, Namibia, Nepal and Venezuela to the list of high-risk third countries which have provided a written high-level political commitment to address the identified deficiencies and have developed an action plan with the FATF, and to remove Barbados, Gibraltar, Jamaica, Panama, the Philippines, Senegal, Uganda and the United Arab Emirates from that list"/>
    <w:docVar w:name="TXTVERSION" w:val="01-00"/>
  </w:docVars>
  <w:rsids>
    <w:rsidRoot w:val="009E6DC8"/>
    <w:rsid w:val="00005AFD"/>
    <w:rsid w:val="000706E6"/>
    <w:rsid w:val="00093F7A"/>
    <w:rsid w:val="000C7B89"/>
    <w:rsid w:val="000F3F4F"/>
    <w:rsid w:val="00105F8B"/>
    <w:rsid w:val="00112650"/>
    <w:rsid w:val="00115B1A"/>
    <w:rsid w:val="0013138E"/>
    <w:rsid w:val="00152F37"/>
    <w:rsid w:val="001601B9"/>
    <w:rsid w:val="001664C3"/>
    <w:rsid w:val="00174648"/>
    <w:rsid w:val="00177FFC"/>
    <w:rsid w:val="00187BF3"/>
    <w:rsid w:val="001973BA"/>
    <w:rsid w:val="001C4DA9"/>
    <w:rsid w:val="001D6517"/>
    <w:rsid w:val="001E685D"/>
    <w:rsid w:val="001E693A"/>
    <w:rsid w:val="0020715F"/>
    <w:rsid w:val="0029106D"/>
    <w:rsid w:val="00346344"/>
    <w:rsid w:val="00370299"/>
    <w:rsid w:val="00377FB8"/>
    <w:rsid w:val="003A6612"/>
    <w:rsid w:val="003C19D7"/>
    <w:rsid w:val="00413E5E"/>
    <w:rsid w:val="00420B46"/>
    <w:rsid w:val="00427894"/>
    <w:rsid w:val="004D0CCC"/>
    <w:rsid w:val="004D2659"/>
    <w:rsid w:val="005379E0"/>
    <w:rsid w:val="00560E87"/>
    <w:rsid w:val="005610C7"/>
    <w:rsid w:val="00591AEA"/>
    <w:rsid w:val="00594254"/>
    <w:rsid w:val="005E0BC3"/>
    <w:rsid w:val="005E76B3"/>
    <w:rsid w:val="006008EF"/>
    <w:rsid w:val="00627E7C"/>
    <w:rsid w:val="006405A7"/>
    <w:rsid w:val="006434B2"/>
    <w:rsid w:val="00680742"/>
    <w:rsid w:val="00693B4D"/>
    <w:rsid w:val="006A44F6"/>
    <w:rsid w:val="006B4452"/>
    <w:rsid w:val="00765B61"/>
    <w:rsid w:val="00776BEB"/>
    <w:rsid w:val="00793850"/>
    <w:rsid w:val="007945A0"/>
    <w:rsid w:val="007974DD"/>
    <w:rsid w:val="007A62C6"/>
    <w:rsid w:val="007B50DB"/>
    <w:rsid w:val="007C6D78"/>
    <w:rsid w:val="007F7BE8"/>
    <w:rsid w:val="0081065B"/>
    <w:rsid w:val="00824B90"/>
    <w:rsid w:val="00841E04"/>
    <w:rsid w:val="008B1B93"/>
    <w:rsid w:val="008D7EB6"/>
    <w:rsid w:val="008E0320"/>
    <w:rsid w:val="00971CAC"/>
    <w:rsid w:val="0098344E"/>
    <w:rsid w:val="009B62A7"/>
    <w:rsid w:val="009D5BA6"/>
    <w:rsid w:val="009D7AF4"/>
    <w:rsid w:val="009E359F"/>
    <w:rsid w:val="009E6DC8"/>
    <w:rsid w:val="00A43EB8"/>
    <w:rsid w:val="00A607AD"/>
    <w:rsid w:val="00A93F71"/>
    <w:rsid w:val="00AA2B14"/>
    <w:rsid w:val="00AA4A84"/>
    <w:rsid w:val="00B11E02"/>
    <w:rsid w:val="00B73C00"/>
    <w:rsid w:val="00BB4EB1"/>
    <w:rsid w:val="00BD04B9"/>
    <w:rsid w:val="00C03AB9"/>
    <w:rsid w:val="00C23D9C"/>
    <w:rsid w:val="00C74D7B"/>
    <w:rsid w:val="00CA5674"/>
    <w:rsid w:val="00CA6266"/>
    <w:rsid w:val="00CE2364"/>
    <w:rsid w:val="00CE3096"/>
    <w:rsid w:val="00D32A3B"/>
    <w:rsid w:val="00D32C4B"/>
    <w:rsid w:val="00D462E2"/>
    <w:rsid w:val="00D60FF7"/>
    <w:rsid w:val="00D765D6"/>
    <w:rsid w:val="00DB70D5"/>
    <w:rsid w:val="00E02F66"/>
    <w:rsid w:val="00E11F98"/>
    <w:rsid w:val="00E273D7"/>
    <w:rsid w:val="00E323D6"/>
    <w:rsid w:val="00E856DE"/>
    <w:rsid w:val="00EB4474"/>
    <w:rsid w:val="00EC68A1"/>
    <w:rsid w:val="00ED10D6"/>
    <w:rsid w:val="00EF546B"/>
    <w:rsid w:val="00F52813"/>
    <w:rsid w:val="00F6637E"/>
    <w:rsid w:val="00F75D46"/>
    <w:rsid w:val="00F9151F"/>
    <w:rsid w:val="00FB083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1BAEF1B"/>
  <w15:chartTrackingRefBased/>
  <w15:docId w15:val="{9FD88E6A-9014-4738-A2A3-713CD34D6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1E0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1065B"/>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824B90"/>
    <w:pPr>
      <w:ind w:left="1417"/>
    </w:pPr>
    <w:rPr>
      <w:b/>
    </w:rPr>
  </w:style>
  <w:style w:type="paragraph" w:customStyle="1" w:styleId="CoverNormal12a">
    <w:name w:val="CoverNormal12a"/>
    <w:basedOn w:val="Normal"/>
    <w:rsid w:val="00D32C4B"/>
    <w:pPr>
      <w:spacing w:after="240"/>
      <w:ind w:left="1418"/>
    </w:pPr>
  </w:style>
  <w:style w:type="paragraph" w:customStyle="1" w:styleId="CoverNormal24a">
    <w:name w:val="CoverNormal24a"/>
    <w:basedOn w:val="Normal"/>
    <w:rsid w:val="00D32C4B"/>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CE2364"/>
    <w:pPr>
      <w:spacing w:after="480"/>
      <w:ind w:left="1418"/>
    </w:pPr>
    <w:rPr>
      <w:rFonts w:ascii="Arial" w:hAnsi="Arial"/>
      <w:b/>
      <w:sz w:val="48"/>
    </w:rPr>
  </w:style>
  <w:style w:type="paragraph" w:styleId="Header">
    <w:name w:val="header"/>
    <w:basedOn w:val="Normal"/>
    <w:link w:val="HeaderChar"/>
    <w:semiHidden/>
    <w:rsid w:val="008D7EB6"/>
    <w:pPr>
      <w:tabs>
        <w:tab w:val="center" w:pos="4513"/>
        <w:tab w:val="right" w:pos="9026"/>
      </w:tabs>
    </w:pPr>
  </w:style>
  <w:style w:type="table" w:styleId="TableGrid">
    <w:name w:val="Table Grid"/>
    <w:basedOn w:val="TableNormal"/>
    <w:rsid w:val="000C7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C7B89"/>
    <w:pPr>
      <w:jc w:val="center"/>
    </w:pPr>
    <w:rPr>
      <w:rFonts w:ascii="Arial" w:hAnsi="Arial" w:cs="Arial"/>
      <w:i/>
      <w:sz w:val="22"/>
      <w:szCs w:val="22"/>
    </w:rPr>
  </w:style>
  <w:style w:type="paragraph" w:customStyle="1" w:styleId="LineTop">
    <w:name w:val="LineTop"/>
    <w:basedOn w:val="Normal"/>
    <w:next w:val="Normal"/>
    <w:rsid w:val="000C7B8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680742"/>
    <w:pPr>
      <w:pBdr>
        <w:bottom w:val="single" w:sz="4" w:space="1" w:color="auto"/>
      </w:pBdr>
      <w:spacing w:after="240"/>
      <w:jc w:val="center"/>
    </w:pPr>
    <w:rPr>
      <w:rFonts w:ascii="Arial" w:hAnsi="Arial" w:cs="Arial"/>
      <w:sz w:val="16"/>
      <w:szCs w:val="16"/>
    </w:rPr>
  </w:style>
  <w:style w:type="paragraph" w:customStyle="1" w:styleId="CoverBold24a">
    <w:name w:val="CoverBold24a"/>
    <w:basedOn w:val="Normal"/>
    <w:rsid w:val="001C4DA9"/>
    <w:pPr>
      <w:spacing w:after="480"/>
      <w:ind w:left="1418"/>
    </w:pPr>
    <w:rPr>
      <w:b/>
    </w:rPr>
  </w:style>
  <w:style w:type="paragraph" w:customStyle="1" w:styleId="EPName">
    <w:name w:val="EPName"/>
    <w:basedOn w:val="Normal"/>
    <w:rsid w:val="001D6517"/>
    <w:pPr>
      <w:spacing w:before="80" w:after="80"/>
    </w:pPr>
    <w:rPr>
      <w:rFonts w:ascii="Arial Narrow" w:hAnsi="Arial Narrow" w:cs="Arial"/>
      <w:b/>
      <w:sz w:val="32"/>
      <w:szCs w:val="22"/>
    </w:rPr>
  </w:style>
  <w:style w:type="paragraph" w:customStyle="1" w:styleId="EPTerm">
    <w:name w:val="EPTerm"/>
    <w:basedOn w:val="Normal"/>
    <w:next w:val="Normal"/>
    <w:rsid w:val="001D6517"/>
    <w:pPr>
      <w:spacing w:after="80"/>
    </w:pPr>
    <w:rPr>
      <w:rFonts w:ascii="Arial" w:hAnsi="Arial" w:cs="Arial"/>
      <w:sz w:val="20"/>
      <w:szCs w:val="22"/>
    </w:rPr>
  </w:style>
  <w:style w:type="paragraph" w:customStyle="1" w:styleId="EPLogo">
    <w:name w:val="EPLogo"/>
    <w:basedOn w:val="Normal"/>
    <w:qFormat/>
    <w:rsid w:val="001D6517"/>
    <w:pPr>
      <w:jc w:val="right"/>
    </w:pPr>
  </w:style>
  <w:style w:type="paragraph" w:customStyle="1" w:styleId="CoverReference">
    <w:name w:val="CoverReference"/>
    <w:basedOn w:val="Normal"/>
    <w:rsid w:val="00680742"/>
    <w:pPr>
      <w:spacing w:before="1080"/>
      <w:jc w:val="right"/>
    </w:pPr>
    <w:rPr>
      <w:rFonts w:ascii="Arial" w:hAnsi="Arial" w:cs="Arial"/>
      <w:b/>
    </w:rPr>
  </w:style>
  <w:style w:type="paragraph" w:customStyle="1" w:styleId="CoverDate">
    <w:name w:val="CoverDate"/>
    <w:basedOn w:val="Normal"/>
    <w:rsid w:val="00680742"/>
    <w:pPr>
      <w:spacing w:before="240" w:after="1200"/>
    </w:pPr>
  </w:style>
  <w:style w:type="paragraph" w:customStyle="1" w:styleId="NormalBold">
    <w:name w:val="NormalBold"/>
    <w:basedOn w:val="Normal"/>
    <w:rsid w:val="00D32C4B"/>
    <w:rPr>
      <w:b/>
    </w:rPr>
  </w:style>
  <w:style w:type="paragraph" w:customStyle="1" w:styleId="EPFooter">
    <w:name w:val="EPFooter"/>
    <w:basedOn w:val="Normal"/>
    <w:rsid w:val="00CE2364"/>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D7EB6"/>
    <w:rPr>
      <w:sz w:val="24"/>
    </w:rPr>
  </w:style>
  <w:style w:type="paragraph" w:customStyle="1" w:styleId="NormalHangingLeft12a">
    <w:name w:val="NormalHangingLeft12a"/>
    <w:basedOn w:val="Normal"/>
    <w:rsid w:val="00420B46"/>
    <w:pPr>
      <w:spacing w:after="240"/>
      <w:ind w:left="1134" w:hanging="567"/>
    </w:pPr>
  </w:style>
  <w:style w:type="paragraph" w:styleId="FootnoteText">
    <w:name w:val="footnote text"/>
    <w:basedOn w:val="Normal"/>
    <w:link w:val="FootnoteTextChar"/>
    <w:rsid w:val="00EC68A1"/>
    <w:rPr>
      <w:sz w:val="20"/>
    </w:rPr>
  </w:style>
  <w:style w:type="character" w:customStyle="1" w:styleId="FootnoteTextChar">
    <w:name w:val="Footnote Text Char"/>
    <w:basedOn w:val="DefaultParagraphFont"/>
    <w:link w:val="FootnoteText"/>
    <w:rsid w:val="00EC68A1"/>
  </w:style>
  <w:style w:type="character" w:styleId="FootnoteReference">
    <w:name w:val="footnote reference"/>
    <w:basedOn w:val="DefaultParagraphFont"/>
    <w:rsid w:val="00EC68A1"/>
    <w:rPr>
      <w:vertAlign w:val="superscript"/>
    </w:rPr>
  </w:style>
  <w:style w:type="character" w:styleId="Emphasis">
    <w:name w:val="Emphasis"/>
    <w:basedOn w:val="DefaultParagraphFont"/>
    <w:uiPriority w:val="20"/>
    <w:qFormat/>
    <w:rsid w:val="00EC68A1"/>
    <w:rPr>
      <w:i/>
      <w:iCs/>
    </w:rPr>
  </w:style>
  <w:style w:type="character" w:styleId="Hyperlink">
    <w:name w:val="Hyperlink"/>
    <w:basedOn w:val="DefaultParagraphFont"/>
    <w:uiPriority w:val="99"/>
    <w:unhideWhenUsed/>
    <w:rsid w:val="00EC68A1"/>
    <w:rPr>
      <w:color w:val="0000FF"/>
      <w:u w:val="single"/>
    </w:rPr>
  </w:style>
  <w:style w:type="paragraph" w:styleId="Footer">
    <w:name w:val="footer"/>
    <w:basedOn w:val="Normal"/>
    <w:link w:val="FooterChar"/>
    <w:rsid w:val="00EC68A1"/>
    <w:pPr>
      <w:tabs>
        <w:tab w:val="center" w:pos="4513"/>
        <w:tab w:val="right" w:pos="9026"/>
      </w:tabs>
    </w:pPr>
  </w:style>
  <w:style w:type="character" w:customStyle="1" w:styleId="FooterChar">
    <w:name w:val="Footer Char"/>
    <w:basedOn w:val="DefaultParagraphFont"/>
    <w:link w:val="Footer"/>
    <w:rsid w:val="00EC68A1"/>
    <w:rPr>
      <w:sz w:val="24"/>
    </w:rPr>
  </w:style>
  <w:style w:type="character" w:styleId="UnresolvedMention">
    <w:name w:val="Unresolved Mention"/>
    <w:basedOn w:val="DefaultParagraphFont"/>
    <w:uiPriority w:val="99"/>
    <w:semiHidden/>
    <w:unhideWhenUsed/>
    <w:rsid w:val="000706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665399">
      <w:bodyDiv w:val="1"/>
      <w:marLeft w:val="0"/>
      <w:marRight w:val="0"/>
      <w:marTop w:val="0"/>
      <w:marBottom w:val="0"/>
      <w:divBdr>
        <w:top w:val="none" w:sz="0" w:space="0" w:color="auto"/>
        <w:left w:val="none" w:sz="0" w:space="0" w:color="auto"/>
        <w:bottom w:val="none" w:sz="0" w:space="0" w:color="auto"/>
        <w:right w:val="none" w:sz="0" w:space="0" w:color="auto"/>
      </w:divBdr>
    </w:div>
    <w:div w:id="646127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24/122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2474</Words>
  <Characters>13290</Characters>
  <Application>Microsoft Office Word</Application>
  <DocSecurity>0</DocSecurity>
  <Lines>217</Lines>
  <Paragraphs>51</Paragraphs>
  <ScaleCrop>false</ScaleCrop>
  <HeadingPairs>
    <vt:vector size="2" baseType="variant">
      <vt:variant>
        <vt:lpstr>Title</vt:lpstr>
      </vt:variant>
      <vt:variant>
        <vt:i4>1</vt:i4>
      </vt:variant>
    </vt:vector>
  </HeadingPairs>
  <TitlesOfParts>
    <vt:vector size="1" baseType="lpstr">
      <vt:lpstr>RD_DelAct_Objections</vt:lpstr>
    </vt:vector>
  </TitlesOfParts>
  <Company/>
  <LinksUpToDate>false</LinksUpToDate>
  <CharactersWithSpaces>15713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RD_DelAct_Objections</dc:title>
  <dc:subject/>
  <dc:creator>BRODERICK Daniel Michael</dc:creator>
  <cp:keywords/>
  <dc:description/>
  <cp:lastModifiedBy>DE BLOMME Aurelie</cp:lastModifiedBy>
  <cp:revision>2</cp:revision>
  <cp:lastPrinted>2004-11-19T15:29:00Z</cp:lastPrinted>
  <dcterms:created xsi:type="dcterms:W3CDTF">2025-07-07T12:28:00Z</dcterms:created>
  <dcterms:modified xsi:type="dcterms:W3CDTF">2025-07-07T12:28:00Z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10.1.2 Build [20250615]</vt:lpwstr>
  </property>
  <property fmtid="{D5CDD505-2E9C-101B-9397-08002B2CF9AE}" pid="4" name="LastEdited with">
    <vt:lpwstr>10.1.2 Build [20250615]</vt:lpwstr>
  </property>
  <property fmtid="{D5CDD505-2E9C-101B-9397-08002B2CF9AE}" pid="5" name="&lt;FdR&gt;">
    <vt:lpwstr>1324488</vt:lpwstr>
  </property>
  <property fmtid="{D5CDD505-2E9C-101B-9397-08002B2CF9AE}" pid="6" name="&lt;Type&gt;">
    <vt:lpwstr>RE</vt:lpwstr>
  </property>
  <property fmtid="{D5CDD505-2E9C-101B-9397-08002B2CF9AE}" pid="7" name="&lt;ModelCod&gt;">
    <vt:lpwstr>\\eiciBRUpr1\pdocep$\DocEP\DOCS\General\RD\RD_DelAct\\RD_DelAct_Objections.dotx(12/08/2024 17:20:00)</vt:lpwstr>
  </property>
  <property fmtid="{D5CDD505-2E9C-101B-9397-08002B2CF9AE}" pid="8" name="&lt;ModelTra&gt;">
    <vt:lpwstr>\\eiciBRUpr1\pdocep$\DocEP\TRANSFIL\EN\RD_DelAct_Objections.EN(08/11/2024 07:27:03)</vt:lpwstr>
  </property>
  <property fmtid="{D5CDD505-2E9C-101B-9397-08002B2CF9AE}" pid="9" name="&lt;Model&gt;">
    <vt:lpwstr>RD_DelAct_Objections</vt:lpwstr>
  </property>
  <property fmtid="{D5CDD505-2E9C-101B-9397-08002B2CF9AE}" pid="10" name="FooterPath">
    <vt:lpwstr>RE\1324488FR.docx</vt:lpwstr>
  </property>
  <property fmtid="{D5CDD505-2E9C-101B-9397-08002B2CF9AE}" pid="11" name="PE number">
    <vt:lpwstr>774.011</vt:lpwstr>
  </property>
  <property fmtid="{D5CDD505-2E9C-101B-9397-08002B2CF9AE}" pid="12" name="Bookout">
    <vt:lpwstr>OK - 2025/07/07 14:28</vt:lpwstr>
  </property>
  <property fmtid="{D5CDD505-2E9C-101B-9397-08002B2CF9AE}" pid="13" name="SDLStudio">
    <vt:lpwstr/>
  </property>
</Properties>
</file>