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E685D" w:rsidRPr="005402B3" w:rsidTr="00C85D0F">
        <w:trPr>
          <w:trHeight w:hRule="exact" w:val="1418"/>
        </w:trPr>
        <w:tc>
          <w:tcPr>
            <w:tcW w:w="6804" w:type="dxa"/>
            <w:shd w:val="clear" w:color="auto" w:fill="auto"/>
            <w:vAlign w:val="center"/>
          </w:tcPr>
          <w:p w:rsidR="001E685D" w:rsidRPr="005402B3" w:rsidRDefault="008C6B33" w:rsidP="00C85D0F">
            <w:pPr>
              <w:pStyle w:val="EPName"/>
            </w:pPr>
            <w:r w:rsidRPr="005402B3">
              <w:t>Parlement européen</w:t>
            </w:r>
          </w:p>
          <w:p w:rsidR="001E685D" w:rsidRPr="005402B3" w:rsidRDefault="00204C53" w:rsidP="00204C53">
            <w:pPr>
              <w:pStyle w:val="EPTerm"/>
            </w:pPr>
            <w:r w:rsidRPr="005402B3">
              <w:t>2024-2029</w:t>
            </w:r>
          </w:p>
        </w:tc>
        <w:tc>
          <w:tcPr>
            <w:tcW w:w="2268" w:type="dxa"/>
            <w:shd w:val="clear" w:color="auto" w:fill="auto"/>
          </w:tcPr>
          <w:p w:rsidR="001E685D" w:rsidRPr="005402B3" w:rsidRDefault="001E685D" w:rsidP="00C85D0F">
            <w:pPr>
              <w:pStyle w:val="EPLogo"/>
            </w:pPr>
            <w:r w:rsidRPr="005402B3">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C7B89" w:rsidRPr="005402B3" w:rsidRDefault="000C7B89" w:rsidP="000C7B89">
      <w:pPr>
        <w:pStyle w:val="LineTop"/>
      </w:pPr>
    </w:p>
    <w:p w:rsidR="000C7B89" w:rsidRPr="005402B3" w:rsidRDefault="00204C53" w:rsidP="000C7B89">
      <w:pPr>
        <w:pStyle w:val="EPBody"/>
      </w:pPr>
      <w:r w:rsidRPr="005402B3">
        <w:t>Document de séance</w:t>
      </w:r>
    </w:p>
    <w:p w:rsidR="00680742" w:rsidRPr="005402B3" w:rsidRDefault="00680742" w:rsidP="00680742">
      <w:pPr>
        <w:pStyle w:val="LineBottom"/>
      </w:pPr>
    </w:p>
    <w:p w:rsidR="00680742" w:rsidRPr="005402B3" w:rsidRDefault="00680742" w:rsidP="00680742">
      <w:pPr>
        <w:pStyle w:val="CoverReference"/>
      </w:pPr>
      <w:r w:rsidRPr="005402B3">
        <w:rPr>
          <w:rStyle w:val="HideTWBExt"/>
          <w:b w:val="0"/>
        </w:rPr>
        <w:t>&lt;NoDocSe&gt;</w:t>
      </w:r>
      <w:r w:rsidRPr="005402B3">
        <w:t>B10</w:t>
      </w:r>
      <w:r w:rsidRPr="005402B3">
        <w:noBreakHyphen/>
        <w:t>0318/2025</w:t>
      </w:r>
      <w:r w:rsidRPr="005402B3">
        <w:rPr>
          <w:rStyle w:val="HideTWBExt"/>
          <w:b w:val="0"/>
        </w:rPr>
        <w:t>&lt;/NoDocSe&gt;</w:t>
      </w:r>
    </w:p>
    <w:p w:rsidR="00680742" w:rsidRPr="005402B3" w:rsidRDefault="00680742" w:rsidP="00680742">
      <w:pPr>
        <w:pStyle w:val="CoverDate"/>
      </w:pPr>
      <w:r w:rsidRPr="005402B3">
        <w:rPr>
          <w:rStyle w:val="HideTWBExt"/>
        </w:rPr>
        <w:t>&lt;Date&gt;</w:t>
      </w:r>
      <w:r w:rsidRPr="005402B3">
        <w:rPr>
          <w:rStyle w:val="HideTWBInt"/>
        </w:rPr>
        <w:t>{02/07/2025}</w:t>
      </w:r>
      <w:r w:rsidRPr="005402B3">
        <w:t>2.7.2025</w:t>
      </w:r>
      <w:r w:rsidRPr="005402B3">
        <w:rPr>
          <w:rStyle w:val="HideTWBExt"/>
        </w:rPr>
        <w:t>&lt;/Date&gt;</w:t>
      </w:r>
    </w:p>
    <w:p w:rsidR="00A93F71" w:rsidRPr="005402B3" w:rsidRDefault="00A93F71" w:rsidP="00A93F71">
      <w:pPr>
        <w:pStyle w:val="CoverDocType24a"/>
      </w:pPr>
      <w:r w:rsidRPr="005402B3">
        <w:rPr>
          <w:rStyle w:val="HideTWBExt"/>
          <w:b w:val="0"/>
        </w:rPr>
        <w:t>&lt;TitreType&gt;</w:t>
      </w:r>
      <w:r w:rsidRPr="005402B3">
        <w:t>PROPOSITION DE RÉSOLUTION</w:t>
      </w:r>
      <w:r w:rsidRPr="005402B3">
        <w:rPr>
          <w:rStyle w:val="HideTWBExt"/>
          <w:b w:val="0"/>
        </w:rPr>
        <w:t>&lt;/TitreType&gt;</w:t>
      </w:r>
    </w:p>
    <w:p w:rsidR="00A93F71" w:rsidRPr="005402B3" w:rsidRDefault="00A93F71" w:rsidP="00A93F71">
      <w:pPr>
        <w:pStyle w:val="CoverNormal12a"/>
      </w:pPr>
      <w:r w:rsidRPr="005402B3">
        <w:rPr>
          <w:rStyle w:val="HideTWBExt"/>
        </w:rPr>
        <w:t>&lt;TitreRecueil&gt;</w:t>
      </w:r>
      <w:r w:rsidRPr="005402B3">
        <w:t>déposée conformément à l’article 114, paragraphe 3, du règlement intérieur</w:t>
      </w:r>
      <w:r w:rsidRPr="005402B3">
        <w:rPr>
          <w:rStyle w:val="HideTWBExt"/>
        </w:rPr>
        <w:t>&lt;/TitreRecueil&gt;</w:t>
      </w:r>
    </w:p>
    <w:p w:rsidR="006405A7" w:rsidRPr="005402B3" w:rsidRDefault="006405A7" w:rsidP="006405A7">
      <w:pPr>
        <w:pStyle w:val="CoverNormal"/>
      </w:pPr>
      <w:r w:rsidRPr="005402B3">
        <w:rPr>
          <w:rStyle w:val="HideTWBExt"/>
        </w:rPr>
        <w:t>&lt;Titre&gt;</w:t>
      </w:r>
      <w:r w:rsidRPr="005402B3">
        <w:t>sur le règlement délégué de la Commission du 10 juin 2025 modifiant le règlement délégué (UE) 2016/1675 par l’ajout de l’Algérie, de l’Angola, de la Côte d’Ivoire, du Kenya, du Laos, du Liban, de Monaco, de la Namibie, du Népal et du Venezuela à la liste des pays tiers à haut risque qui ont pris un engagement écrit à haut niveau de remédier aux carences constatées et qui ont élaboré un plan d’action avec le GAFI, et par le retrait de cette liste de la Barbade, de Gibraltar, de la Jamaïque, du Panama, des Philippines, du Sénégal, de l’Ouganda et des Émirats arabes unis</w:t>
      </w:r>
      <w:r w:rsidRPr="005402B3">
        <w:rPr>
          <w:rStyle w:val="HideTWBExt"/>
        </w:rPr>
        <w:t>&lt;/Titre&gt;</w:t>
      </w:r>
    </w:p>
    <w:p w:rsidR="006405A7" w:rsidRPr="005402B3" w:rsidRDefault="006405A7" w:rsidP="00AA2B14">
      <w:pPr>
        <w:pStyle w:val="CoverNormal24a"/>
      </w:pPr>
      <w:r w:rsidRPr="005402B3">
        <w:rPr>
          <w:rStyle w:val="HideTWBExt"/>
        </w:rPr>
        <w:t>&lt;DocRef&gt;</w:t>
      </w:r>
      <w:r w:rsidRPr="005402B3">
        <w:t>(C(2025)03815 - 2025/2740(DEA))</w:t>
      </w:r>
      <w:r w:rsidRPr="005402B3">
        <w:rPr>
          <w:rStyle w:val="HideTWBExt"/>
        </w:rPr>
        <w:t>&lt;/DocRef&gt;</w:t>
      </w:r>
    </w:p>
    <w:p w:rsidR="00A43EB8" w:rsidRPr="005402B3" w:rsidRDefault="00A43EB8" w:rsidP="00A43EB8">
      <w:pPr>
        <w:pStyle w:val="CoverBold"/>
      </w:pPr>
      <w:r w:rsidRPr="005402B3">
        <w:rPr>
          <w:rStyle w:val="HideTWBExt"/>
          <w:b w:val="0"/>
        </w:rPr>
        <w:t>&lt;RepeatBlock-By&gt;&lt;Depute&gt;</w:t>
      </w:r>
      <w:r w:rsidRPr="005402B3">
        <w:t>Luděk Niedermayer, Javier Zarzalejos, Fernando Navarrete Rojas, Isabel Benjumea Benjumea, Maravillas Abadía Jover, Carmen Crespo Díaz, Francisco José Millán Mon, Rosa Estaràs Ferragut, Gabriel Mato, Pilar del Castillo Vera, Esther Herranz García, Borja Giménez Larraz, Raúl de la Hoz Quintano, Susana Solís Pérez, Alma Ezcurra Almansa, Dolors Montserrat, Elena Nevado del Campo, Adrián Vázquez Lázara, Juan Ignacio Zoido Álvarez, Antonio López</w:t>
      </w:r>
      <w:r w:rsidRPr="005402B3">
        <w:noBreakHyphen/>
        <w:t xml:space="preserve">Istúriz White, Marco Falcone, Esteban González Pons, Pablo Arias Echeverría, Nicolás Pascual de la Parte, Danuše Nerudová, David Casa, Tomáš Zdechovský, Kinga Kollár, Gabriella Gerzsenyi, Herbert Dorfmann, Christophe Gomart, Ondřej Kolář, Jan Farský, Michalis Hadjipantela, </w:t>
      </w:r>
      <w:r w:rsidRPr="005402B3">
        <w:lastRenderedPageBreak/>
        <w:t>Siegfried Mureşan, Dan</w:t>
      </w:r>
      <w:r w:rsidRPr="005402B3">
        <w:noBreakHyphen/>
        <w:t>Ştefan Motreanu, Virgil-Daniel Popescu, Iuliu Winkler, Gheorghe Falcă, Mircea</w:t>
      </w:r>
      <w:r w:rsidRPr="005402B3">
        <w:noBreakHyphen/>
        <w:t>Gheorghe Hava, Daniel Buda, Paulius Saudargas, Maria Walsh, Loucas Fourlas, Verena Mertens, François-Xavier Bellamy, Karlo Ressler, Laurent Castillo, Sirpa Pietikäinen, Andrzej Halicki</w:t>
      </w:r>
      <w:r w:rsidRPr="005402B3">
        <w:rPr>
          <w:rStyle w:val="HideTWBExt"/>
          <w:b w:val="0"/>
        </w:rPr>
        <w:t>&lt;/Depute&gt;</w:t>
      </w:r>
    </w:p>
    <w:p w:rsidR="00A43EB8" w:rsidRPr="005402B3" w:rsidRDefault="00204C53" w:rsidP="00D9688B">
      <w:pPr>
        <w:pStyle w:val="CoverNormal"/>
      </w:pPr>
      <w:r w:rsidRPr="005402B3">
        <w:rPr>
          <w:rStyle w:val="HideTWBExt"/>
        </w:rPr>
        <w:t>&lt;/RepeatBlock-By&gt;</w:t>
      </w:r>
    </w:p>
    <w:p w:rsidR="00A93F71" w:rsidRPr="005402B3" w:rsidRDefault="00A93F71" w:rsidP="00A93F71">
      <w:pPr>
        <w:pStyle w:val="NormalBold12a"/>
      </w:pPr>
      <w:r w:rsidRPr="005402B3">
        <w:br w:type="page"/>
        <w:t>B10</w:t>
      </w:r>
      <w:r w:rsidRPr="005402B3">
        <w:noBreakHyphen/>
        <w:t>0318/2025</w:t>
      </w:r>
    </w:p>
    <w:p w:rsidR="006405A7" w:rsidRPr="005402B3" w:rsidRDefault="008C6B33" w:rsidP="00D32C4B">
      <w:pPr>
        <w:pStyle w:val="NormalBold"/>
      </w:pPr>
      <w:r w:rsidRPr="005402B3">
        <w:t>Résolution du Parlement européen sur le règlement délégué de la Commission du 10 juin 2025 modifiant le règlement délégué (UE) 2016/1675 par l’ajout de l’Algérie, de l’Angola, de la Côte d’Ivoire, du Kenya, du Laos, du Liban, de Monaco, de la Namibie, du Népal et du Venezuela à la liste des pays tiers à haut risque qui ont pris un engagement écrit à haut niveau de remédier aux carences constatées et qui ont élaboré un plan d’action avec le GAFI, et par le retrait de cette liste de la Barbade, de Gibraltar, de la Jamaïque, du Panama, des Philippines, du Sénégal, de l’Ouganda et des Émirats arabes unis</w:t>
      </w:r>
    </w:p>
    <w:p w:rsidR="006405A7" w:rsidRPr="005402B3" w:rsidRDefault="008C6B33" w:rsidP="00D32C4B">
      <w:pPr>
        <w:pStyle w:val="NormalBold"/>
      </w:pPr>
      <w:r w:rsidRPr="005402B3">
        <w:t>(C(2025)03815 - 2025/2740(DEA))</w:t>
      </w:r>
    </w:p>
    <w:p w:rsidR="00A93F71" w:rsidRPr="005402B3" w:rsidRDefault="008C6B33" w:rsidP="00A93F71">
      <w:pPr>
        <w:pStyle w:val="EPComma"/>
      </w:pPr>
      <w:r w:rsidRPr="005402B3">
        <w:rPr>
          <w:i/>
        </w:rPr>
        <w:t>Le Parlement européen,</w:t>
      </w:r>
    </w:p>
    <w:p w:rsidR="00204C53" w:rsidRPr="005402B3" w:rsidRDefault="00A93F71" w:rsidP="00204C53">
      <w:pPr>
        <w:pStyle w:val="NormalHanging12a"/>
      </w:pPr>
      <w:r w:rsidRPr="005402B3">
        <w:t>–</w:t>
      </w:r>
      <w:r w:rsidRPr="005402B3">
        <w:tab/>
        <w:t>vu le règlement délégué de la Commission (C(2025)03815),</w:t>
      </w:r>
    </w:p>
    <w:p w:rsidR="00204C53" w:rsidRPr="005402B3" w:rsidRDefault="00204C53" w:rsidP="00204C53">
      <w:pPr>
        <w:pStyle w:val="NormalHanging12a"/>
      </w:pPr>
      <w:r w:rsidRPr="005402B3">
        <w:t>–</w:t>
      </w:r>
      <w:r w:rsidRPr="005402B3">
        <w:tab/>
        <w:t>vu l'article 290 du traité sur le fonctionnement de l'Union européenne,</w:t>
      </w:r>
    </w:p>
    <w:p w:rsidR="00204C53" w:rsidRPr="005402B3" w:rsidRDefault="00204C53" w:rsidP="00204C53">
      <w:pPr>
        <w:pStyle w:val="NormalHanging12a"/>
      </w:pPr>
      <w:r w:rsidRPr="005402B3">
        <w:t>–</w:t>
      </w:r>
      <w:r w:rsidRPr="005402B3">
        <w:tab/>
        <w:t>vu la 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et en particulier son article 9, paragraphe 2, et son article 64, paragraphe 5,</w:t>
      </w:r>
    </w:p>
    <w:p w:rsidR="00204C53" w:rsidRPr="005402B3" w:rsidRDefault="00204C53" w:rsidP="00204C53">
      <w:pPr>
        <w:pStyle w:val="NormalHanging12a"/>
      </w:pPr>
      <w:r w:rsidRPr="005402B3">
        <w:t>–</w:t>
      </w:r>
      <w:r w:rsidRPr="005402B3">
        <w:tab/>
        <w:t>vu le règlement délégué (UE) 2016/1675 de la Commission du 14 juillet 2016 complétant la directive (UE) 2015/849 du Parlement européen et du Conseil par le recensement des pays tiers à haut risque présentant des carences stratégiques, et notamment son annexe,</w:t>
      </w:r>
    </w:p>
    <w:p w:rsidR="00204C53" w:rsidRPr="005402B3" w:rsidRDefault="00420B46" w:rsidP="00204C53">
      <w:pPr>
        <w:pStyle w:val="NormalHanging12a"/>
      </w:pPr>
      <w:r w:rsidRPr="005402B3">
        <w:t>–</w:t>
      </w:r>
      <w:r w:rsidRPr="005402B3">
        <w:tab/>
        <w:t>vu l’article 114, paragraphe 3, de son règlement intérieur,</w:t>
      </w:r>
    </w:p>
    <w:p w:rsidR="00204C53" w:rsidRPr="005402B3" w:rsidRDefault="00204C53" w:rsidP="00204C53">
      <w:pPr>
        <w:pStyle w:val="NormalHanging12a"/>
        <w:rPr>
          <w:spacing w:val="-2"/>
        </w:rPr>
      </w:pPr>
      <w:r w:rsidRPr="005402B3">
        <w:t>A.</w:t>
      </w:r>
      <w:r w:rsidRPr="005402B3">
        <w:tab/>
        <w:t>considérant que le règlement délégué (UE) 2016/1675 de la Commission, son annexe et le règlement délégué modificatif de la Commission du 14 mars 2024 recensent les pays tiers à haut risque présentant des carences stratégiques en matière de lutte contre le blanchiment de capitaux et le financement du terrorisme, qui représentent une menace pour le système financier de l’Union et requièrent de la part des entités assujetties de l’Union qu’elles appliquent des mesures de vigilance renforcée à l’égard de la clientèle en vertu de la directive (UE) 2015/849;</w:t>
      </w:r>
    </w:p>
    <w:p w:rsidR="00204C53" w:rsidRPr="005402B3" w:rsidRDefault="00204C53" w:rsidP="00204C53">
      <w:pPr>
        <w:pStyle w:val="NormalHanging12a"/>
      </w:pPr>
      <w:r w:rsidRPr="005402B3">
        <w:t>B.</w:t>
      </w:r>
      <w:r w:rsidRPr="005402B3">
        <w:tab/>
        <w:t xml:space="preserve">considérant que, conformément à la méthode de 2020 de recensement des pays tiers à haut risque au titre de la directive (UE) 2015/849, telle qu’exposée dans le document de travail des services de la Commission du 7 mai 2020 (ci-après dénommée «la méthode de 2020»), la Commission peut s’appuyer dans une large mesure sur les évaluations des pays tiers réalisées par des organismes internationaux, tels que le Groupe d’action financière (GAFI), étant donné que l’évaluation du GAFI suit une procédure régulière fondée sur des </w:t>
      </w:r>
      <w:bookmarkStart w:id="0" w:name="_GoBack"/>
      <w:bookmarkEnd w:id="0"/>
      <w:r w:rsidRPr="005402B3">
        <w:t>critères objectifs et que les seuils spécifiques d’inscription sur la liste permettent de recenser les pays présentant des carences stratégiques très concrètes et profondes; qu’en principe, tout pays tiers représentant un risque pour le système financier international, tel que recensé par le GAFI, est présumé représenter un risque pour le marché intérieur;</w:t>
      </w:r>
    </w:p>
    <w:p w:rsidR="00204C53" w:rsidRPr="005402B3" w:rsidRDefault="00204C53" w:rsidP="00204C53">
      <w:pPr>
        <w:pStyle w:val="NormalHanging12a"/>
      </w:pPr>
      <w:r w:rsidRPr="005402B3">
        <w:t>C.</w:t>
      </w:r>
      <w:r w:rsidRPr="005402B3">
        <w:tab/>
        <w:t>considérant que l’évaluation de la Commission repose cependant sur un processus autonome, qui doit être mené de façon rigoureuse et impartiale et examiner tous les pays tiers suivant les mêmes critères, lesquels sont définis à l’article 9, paragraphe 2, de la directive (UE) 2015/849;</w:t>
      </w:r>
    </w:p>
    <w:p w:rsidR="00204C53" w:rsidRPr="005402B3" w:rsidRDefault="00204C53" w:rsidP="00204C53">
      <w:pPr>
        <w:pStyle w:val="NormalHanging12a"/>
      </w:pPr>
      <w:r w:rsidRPr="005402B3">
        <w:t>D.</w:t>
      </w:r>
      <w:r w:rsidRPr="005402B3">
        <w:tab/>
        <w:t>considérant que le Parlement attend de la Commission qu’elle procède à sa propre évaluation en tenant compte des vulnérabilités spécifiques du marché intérieur et qu’elle ne se fonde pas uniquement sur les évaluations réalisées par le GAFI;</w:t>
      </w:r>
    </w:p>
    <w:p w:rsidR="00204C53" w:rsidRPr="005402B3" w:rsidRDefault="00204C53" w:rsidP="00204C53">
      <w:pPr>
        <w:pStyle w:val="NormalHanging12a"/>
        <w:rPr>
          <w:spacing w:val="-2"/>
        </w:rPr>
      </w:pPr>
      <w:r w:rsidRPr="005402B3">
        <w:t>E.</w:t>
      </w:r>
      <w:r w:rsidRPr="005402B3">
        <w:tab/>
        <w:t>considérant que, selon la méthode de 2020, un pays tiers qui a été retiré de la liste par le GAFI reste sur la liste des pays tiers à haut risque de l’Union jusqu’à ce qu’il soit établi que ce pays tiers remplit les critères de l’Union pour être retiré de la liste; que cette procédure autonome suppose que, lorsque l’Union retire un pays tiers de la liste, il existe une garantie concrète que ce pays ne présente plus de risque spécifique élevé pour l’intégrité du marché intérieur de l’Union; que la rigueur de l’évaluation de la Commission doit être proportionnelle aux manquements constatés, d’une part, et à la mesure dans laquelle le marché intérieur est exposé au pays tiers en particulier, d’autre part;</w:t>
      </w:r>
    </w:p>
    <w:p w:rsidR="00204C53" w:rsidRPr="005402B3" w:rsidRDefault="00204C53" w:rsidP="00204C53">
      <w:pPr>
        <w:pStyle w:val="NormalHanging12a"/>
      </w:pPr>
      <w:r w:rsidRPr="005402B3">
        <w:t>F.</w:t>
      </w:r>
      <w:r w:rsidRPr="005402B3">
        <w:tab/>
        <w:t>considérant que, le 10 juin 2025, la Commission a adopté un règlement délégué de la Commission modifiant le règlement délégué (UE) 2016/1675 par l’ajout de l’Algérie, de l’Angola, de la Côte d’Ivoire, du Kenya, du Laos, du Liban, de Monaco, de la Namibie, du Népal et du Venezuela au tableau figurant au point I de l’annexe et par le retrait de ce tableau de la Barbade, de Gibraltar, de la Jamaïque, du Panama, des Philippines, du Sénégal, de l’Ouganda et des Émirats arabes unis;</w:t>
      </w:r>
    </w:p>
    <w:p w:rsidR="00204C53" w:rsidRPr="005402B3" w:rsidRDefault="00204C53" w:rsidP="00204C53">
      <w:pPr>
        <w:pStyle w:val="NormalHanging12a"/>
      </w:pPr>
      <w:r w:rsidRPr="005402B3">
        <w:t>G.</w:t>
      </w:r>
      <w:r w:rsidRPr="005402B3">
        <w:tab/>
        <w:t>considérant que le Parlement estime que la liste de critères établie à l’article 9, paragraphe 2, de la directive (UE) 2015/849 n’est pas exhaustive («en particulier») et que les infractions sous-jacentes au blanchiment de capitaux, telles que le contournement des sanctions, peuvent être couvertes par ces critères et devraient être dûment prises en compte dans le processus d’évaluation autonome de la Commission;</w:t>
      </w:r>
    </w:p>
    <w:p w:rsidR="00204C53" w:rsidRPr="005402B3" w:rsidRDefault="00204C53" w:rsidP="00204C53">
      <w:pPr>
        <w:pStyle w:val="NormalHanging12a"/>
      </w:pPr>
      <w:r w:rsidRPr="005402B3">
        <w:t>H.</w:t>
      </w:r>
      <w:r w:rsidRPr="005402B3">
        <w:tab/>
        <w:t>considérant que le processus actuel d’inscription sur la liste de l’Union des pays tiers à haut risque dans le domaine de la lutte contre le blanchiment de capitaux et le financement du terrorisme ne tient pas compte des pays et territoires qui présentent des risques systémiques graves, mais qui ne figurent pas sur la liste du GAFI; que cela inclut les pays qui ne sont plus membres du GAFI ou qui en ont été suspendus, qui font preuve d’une réticence persistante à coopérer avec les organismes internationaux en matière de lutte contre le blanchiment de capitaux et de financement du terrorisme, qui font l’objet de sanctions financières de grande ampleur imposées au niveau de l’Union ou au niveau international ou qui enfreignent régulièrement les normes juridiques internationales et le droit international; que la Commission s’est jusqu’à présent abstenue d’inscrire ces pays et territoires sur la liste, en invoquant des préoccupations politiques et juridiques, ce qui nuit à la crédibilité et à l’efficacité du cadre de l’Union en matière de lutte contre le blanchiment de capitaux; que le fait de s’appuyer exclusivement sur les classifications du GAFI est insuffisant et trop restrictif, et qu’il convient de tenir compte de critères supplémentaires, tels que le respect des sanctions, la transparence des bénéficiaires effectifs, la coopération avec les autorités de l’Union et le respect des obligations internationales;</w:t>
      </w:r>
    </w:p>
    <w:p w:rsidR="00204C53" w:rsidRPr="005402B3" w:rsidRDefault="00204C53" w:rsidP="00204C53">
      <w:pPr>
        <w:pStyle w:val="NormalHanging12a"/>
      </w:pPr>
      <w:r w:rsidRPr="005402B3">
        <w:t>I.</w:t>
      </w:r>
      <w:r w:rsidRPr="005402B3">
        <w:tab/>
        <w:t>considérant que la Russie est un exemple typique de pays qui mérite une évaluation au regard de ces critères plus larges, compte tenu de sa suspension du GAFI, de la poursuite de sa guerre d’agression illégale contre l’Ukraine et de son non-respect généralisé des sanctions imposées par l’Union; que des situations similaires sont susceptibles de se produire à l’avenir et que la Commission devrait être invitée à présenter une proposition écrite précisant quel traitement elle appliquera aux pays et territoires qui sont suspendus du GAFI, qui font l’objet de sanctions, qui se montrent non coopératifs ou qui violent le droit international;</w:t>
      </w:r>
    </w:p>
    <w:p w:rsidR="00204C53" w:rsidRPr="005402B3" w:rsidRDefault="00204C53" w:rsidP="00204C53">
      <w:pPr>
        <w:pStyle w:val="NormalHanging12a"/>
      </w:pPr>
      <w:r w:rsidRPr="005402B3">
        <w:t>J.</w:t>
      </w:r>
      <w:r w:rsidRPr="005402B3">
        <w:tab/>
        <w:t>considérant que la lutte contre le blanchiment de capitaux et le financement du terrorisme est un processus continu, que l’innovation financière ouvre de nouvelles voies et que les flux illicites peuvent être rapidement réorientés; qu’un plus grand nombre de pays qui ne figurent pas sur la liste ou qui en ont été retirés doivent être surveillés de près, en particulier s’il existe un risque de forte augmentation des transactions; que, si ce travail constant incombe à la Commission, le Parlement estime qu’un dialogue continu avec les colégislateurs est essentiel pour maintenir le cadre opérationnel et réagir rapidement aux menaces éventuelles;</w:t>
      </w:r>
    </w:p>
    <w:p w:rsidR="00204C53" w:rsidRPr="005402B3" w:rsidRDefault="00204C53" w:rsidP="00204C53">
      <w:pPr>
        <w:pStyle w:val="NormalHanging12a"/>
      </w:pPr>
      <w:r w:rsidRPr="005402B3">
        <w:t>K.</w:t>
      </w:r>
      <w:r w:rsidRPr="005402B3">
        <w:tab/>
        <w:t>considérant que le fait de voter sur tous les pays dans un même acte comporte le risque que des pays dont le retrait de la liste est proposé à juste titre ne soient pas retirés de celle-ci, et vice versa, si les colégislateurs ne sont pas d’accord avec l’évaluation de la Commission, même lorsque ce désaccord ne concerne qu’un seul pays;</w:t>
      </w:r>
    </w:p>
    <w:p w:rsidR="00204C53" w:rsidRPr="005402B3" w:rsidRDefault="00204C53" w:rsidP="00204C53">
      <w:pPr>
        <w:pStyle w:val="NormalHanging12a"/>
      </w:pPr>
      <w:r w:rsidRPr="005402B3">
        <w:t>L.</w:t>
      </w:r>
      <w:r w:rsidRPr="005402B3">
        <w:tab/>
        <w:t>considérant que, conformément à l’article 9, paragraphe 1, de la directive</w:t>
      </w:r>
      <w:r w:rsidR="001268F4">
        <w:t> </w:t>
      </w:r>
      <w:r w:rsidRPr="005402B3">
        <w:t>(UE)</w:t>
      </w:r>
      <w:r w:rsidR="001268F4">
        <w:t> </w:t>
      </w:r>
      <w:r w:rsidRPr="005402B3">
        <w:t>2015/849, la Commission est habilitée à adopter des actes délégués pour recenser les pays tiers à haut risque dont les dispositifs de lutte contre le blanchiment de capitaux et le financement du terrorisme présentent des carences qui font peser une menace significative sur le système financier de l’Union; que l’article 1</w:t>
      </w:r>
      <w:r w:rsidRPr="005402B3">
        <w:rPr>
          <w:vertAlign w:val="superscript"/>
        </w:rPr>
        <w:t>er</w:t>
      </w:r>
      <w:r w:rsidRPr="005402B3">
        <w:t>, paragraphe 3, point b), du règlement (UE) 2024/1620</w:t>
      </w:r>
      <w:r w:rsidRPr="005402B3">
        <w:rPr>
          <w:rStyle w:val="FootnoteReference"/>
          <w:color w:val="000000"/>
        </w:rPr>
        <w:footnoteReference w:id="1"/>
      </w:r>
      <w:r w:rsidRPr="005402B3">
        <w:t xml:space="preserve"> dispose que l’Autorité </w:t>
      </w:r>
      <w:r w:rsidRPr="005402B3">
        <w:rPr>
          <w:shd w:val="clear" w:color="auto" w:fill="FFFFFF"/>
        </w:rPr>
        <w:t>de lutte contre le blanchiment de capitaux et le financement du terrorisme</w:t>
      </w:r>
      <w:r w:rsidRPr="005402B3">
        <w:t xml:space="preserve"> (ALBC) doit contribuer à identifier et à évaluer les risques et menaces de blanchiment de capitaux et de financement du terrorisme, y compris ceux émanant de pays tiers qui pourraient avoir un impact sur le fonctionnement du marché intérieur; que, par conséquent, les rapports, évaluations ou avis émis par l’ALBC concernant des pays tiers devraient être pris en compte par la Commission, conformément à l’article 9, paragraphe 4, de la directive (UE) 2015/849, lorsqu’elle établit la liste des pays tiers à haut risque; que l’ALBC peut exercer son rôle au titre de l’article 1</w:t>
      </w:r>
      <w:r w:rsidRPr="005402B3">
        <w:rPr>
          <w:vertAlign w:val="superscript"/>
        </w:rPr>
        <w:t>er</w:t>
      </w:r>
      <w:r w:rsidRPr="005402B3">
        <w:t>, paragraphe 3, point b), du règlement (UE) 2024/1620 et influencer ainsi l’établissement de cette liste: (i) en émettant des avis ou des conseils techniques, ii) en influençant directement l’inscription de pays sur la liste du GAFI ou le retrait de pays de cette liste, et iii) en concluant avec le GAFI des accords administratifs qui ne portent pas atteinte aux compétences respectives de la Commission et des États membres;</w:t>
      </w:r>
    </w:p>
    <w:p w:rsidR="00204C53" w:rsidRPr="005402B3" w:rsidRDefault="00204C53" w:rsidP="00204C53">
      <w:pPr>
        <w:pStyle w:val="NormalHanging12a"/>
      </w:pPr>
      <w:r w:rsidRPr="005402B3">
        <w:t>M.</w:t>
      </w:r>
      <w:r w:rsidRPr="005402B3">
        <w:tab/>
        <w:t>considérant que, selon le rapport TE-SAT 2025 et la SOCTA UE 2025 d’Europol, il existe un lien croissant et préoccupant entre la criminalité organisée, le financement du terrorisme et le blanchiment de capitaux; que les réseaux criminels exploitent de plus en plus les technologies émergentes, telles que les cryptomonnaies et les systèmes de financement numérique, pour blanchir des capitaux illicites et financer des activités extrémistes violentes; que cette convergence des menaces nuit à l’intégrité du système financier de l’Union et renforce les structures criminelles transnationales; que l’instrumentalisation des jeunes et l’utilisation d’outils numériques avancés aggravent encore les risques pour la sécurité et la stabilité du marché intérieur;</w:t>
      </w:r>
    </w:p>
    <w:p w:rsidR="00204C53" w:rsidRPr="005402B3" w:rsidRDefault="00204C53" w:rsidP="00204C53">
      <w:pPr>
        <w:pStyle w:val="NormalHanging12a"/>
        <w:rPr>
          <w:spacing w:val="-2"/>
        </w:rPr>
      </w:pPr>
      <w:r w:rsidRPr="005402B3">
        <w:t>1.</w:t>
      </w:r>
      <w:r w:rsidRPr="005402B3">
        <w:tab/>
        <w:t>fait objection au règlement délégué de la Commission;</w:t>
      </w:r>
    </w:p>
    <w:p w:rsidR="00204C53" w:rsidRPr="005402B3" w:rsidRDefault="00204C53" w:rsidP="00204C53">
      <w:pPr>
        <w:pStyle w:val="NormalHanging12a"/>
        <w:rPr>
          <w:spacing w:val="-2"/>
        </w:rPr>
      </w:pPr>
      <w:r w:rsidRPr="005402B3">
        <w:t>2.</w:t>
      </w:r>
      <w:r w:rsidRPr="005402B3">
        <w:tab/>
        <w:t>charge sa Présidente de transmettre la présente résolution à la Commission et de l’informer que le règlement délégué ne peut entrer en vigueur;</w:t>
      </w:r>
    </w:p>
    <w:p w:rsidR="00204C53" w:rsidRPr="005402B3" w:rsidRDefault="00204C53" w:rsidP="00204C53">
      <w:pPr>
        <w:pStyle w:val="NormalHanging12a"/>
      </w:pPr>
      <w:r w:rsidRPr="005402B3">
        <w:t>3.</w:t>
      </w:r>
      <w:r w:rsidRPr="005402B3">
        <w:tab/>
        <w:t>demande à la Commission de soumettre un nouvel acte délégué qui tienne compte des préoccupations exprimées ci-dessus et des recommandations suivantes;</w:t>
      </w:r>
    </w:p>
    <w:p w:rsidR="00204C53" w:rsidRPr="005402B3" w:rsidRDefault="00204C53" w:rsidP="00D9688B">
      <w:pPr>
        <w:pStyle w:val="NormalHanging12a"/>
        <w:ind w:left="1418" w:hanging="851"/>
      </w:pPr>
      <w:r w:rsidRPr="005402B3">
        <w:t>a)</w:t>
      </w:r>
      <w:r w:rsidRPr="005402B3">
        <w:tab/>
        <w:t>revoir la procédure de réexamen de la liste en raison de ses lacunes relatives au traitement des pays et territoires qui présentent des risques systémiques graves, mais qui ne figurent pas sur la liste du GAFI;</w:t>
      </w:r>
    </w:p>
    <w:p w:rsidR="00204C53" w:rsidRPr="005402B3" w:rsidRDefault="00204C53" w:rsidP="00D9688B">
      <w:pPr>
        <w:pStyle w:val="NormalHanging12a"/>
        <w:ind w:left="1418" w:hanging="851"/>
        <w:rPr>
          <w:spacing w:val="-2"/>
        </w:rPr>
      </w:pPr>
      <w:r w:rsidRPr="005402B3">
        <w:t>b)</w:t>
      </w:r>
      <w:r w:rsidRPr="005402B3">
        <w:tab/>
        <w:t>éviter de s’appuyer uniquement sur les classifications du GAFI, qui sont insuffisantes et trop restrictives, et tenir compte du rôle de l’ALBC;</w:t>
      </w:r>
    </w:p>
    <w:p w:rsidR="00204C53" w:rsidRPr="005402B3" w:rsidRDefault="00204C53" w:rsidP="00204C53">
      <w:pPr>
        <w:pStyle w:val="NormalHanging12a"/>
        <w:rPr>
          <w:spacing w:val="-2"/>
        </w:rPr>
      </w:pPr>
      <w:r w:rsidRPr="005402B3">
        <w:t>4.</w:t>
      </w:r>
      <w:r w:rsidRPr="005402B3">
        <w:tab/>
        <w:t>charge sa Présidente de transmettre la présente résolution au Conseil ainsi qu’aux gouvernements et aux parlements des États membres.</w:t>
      </w:r>
    </w:p>
    <w:p w:rsidR="00204C53" w:rsidRPr="005402B3" w:rsidRDefault="00204C53" w:rsidP="00204C53">
      <w:p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357" w:hanging="499"/>
        <w:rPr>
          <w:spacing w:val="-2"/>
        </w:rPr>
      </w:pPr>
    </w:p>
    <w:p w:rsidR="00F6637E" w:rsidRPr="005402B3" w:rsidRDefault="00F6637E" w:rsidP="00204C53">
      <w:pPr>
        <w:pStyle w:val="NormalHanging12a"/>
      </w:pPr>
    </w:p>
    <w:sectPr w:rsidR="00F6637E" w:rsidRPr="005402B3" w:rsidSect="005402B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B33" w:rsidRPr="005402B3" w:rsidRDefault="008C6B33">
      <w:r w:rsidRPr="005402B3">
        <w:separator/>
      </w:r>
    </w:p>
  </w:endnote>
  <w:endnote w:type="continuationSeparator" w:id="0">
    <w:p w:rsidR="008C6B33" w:rsidRPr="005402B3" w:rsidRDefault="008C6B33">
      <w:r w:rsidRPr="00540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B3" w:rsidRPr="005402B3" w:rsidRDefault="005402B3" w:rsidP="005402B3">
    <w:pPr>
      <w:pStyle w:val="EPFooter"/>
    </w:pPr>
    <w:r w:rsidRPr="005402B3">
      <w:t>PE</w:t>
    </w:r>
    <w:r w:rsidRPr="005402B3">
      <w:rPr>
        <w:rStyle w:val="HideTWBExt"/>
      </w:rPr>
      <w:t>&lt;NoPE&gt;</w:t>
    </w:r>
    <w:r w:rsidRPr="005402B3">
      <w:t>774.014</w:t>
    </w:r>
    <w:r w:rsidRPr="005402B3">
      <w:rPr>
        <w:rStyle w:val="HideTWBExt"/>
      </w:rPr>
      <w:t>&lt;/NoPE&gt;&lt;Version&gt;</w:t>
    </w:r>
    <w:r w:rsidRPr="005402B3">
      <w:t>v01-00</w:t>
    </w:r>
    <w:r w:rsidRPr="005402B3">
      <w:rPr>
        <w:rStyle w:val="HideTWBExt"/>
      </w:rPr>
      <w:t>&lt;/Version&gt;</w:t>
    </w:r>
    <w:r w:rsidRPr="005402B3">
      <w:tab/>
    </w:r>
    <w:r w:rsidRPr="005402B3">
      <w:fldChar w:fldCharType="begin"/>
    </w:r>
    <w:r w:rsidRPr="005402B3">
      <w:instrText xml:space="preserve"> PAGE  \* MERGEFORMAT </w:instrText>
    </w:r>
    <w:r w:rsidRPr="005402B3">
      <w:fldChar w:fldCharType="separate"/>
    </w:r>
    <w:r w:rsidR="001268F4">
      <w:rPr>
        <w:noProof/>
      </w:rPr>
      <w:t>6</w:t>
    </w:r>
    <w:r w:rsidRPr="005402B3">
      <w:fldChar w:fldCharType="end"/>
    </w:r>
    <w:r w:rsidRPr="005402B3">
      <w:t>/</w:t>
    </w:r>
    <w:fldSimple w:instr=" NUMPAGES  \* MERGEFORMAT ">
      <w:r w:rsidR="001268F4">
        <w:rPr>
          <w:noProof/>
        </w:rPr>
        <w:t>6</w:t>
      </w:r>
    </w:fldSimple>
    <w:r w:rsidRPr="005402B3">
      <w:tab/>
    </w:r>
    <w:r w:rsidRPr="005402B3">
      <w:rPr>
        <w:rStyle w:val="HideTWBExt"/>
      </w:rPr>
      <w:t>&lt;PathFdR&gt;</w:t>
    </w:r>
    <w:r w:rsidRPr="005402B3">
      <w:t>RE\1324492FR.docx</w:t>
    </w:r>
    <w:r w:rsidRPr="005402B3">
      <w:rPr>
        <w:rStyle w:val="HideTWBExt"/>
      </w:rPr>
      <w:t>&lt;/PathFdR&gt;</w:t>
    </w:r>
  </w:p>
  <w:p w:rsidR="000C7B89" w:rsidRPr="005402B3" w:rsidRDefault="005402B3" w:rsidP="005402B3">
    <w:pPr>
      <w:pStyle w:val="EPFooter2"/>
    </w:pPr>
    <w:r w:rsidRPr="005402B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B3" w:rsidRPr="005402B3" w:rsidRDefault="005402B3" w:rsidP="005402B3">
    <w:pPr>
      <w:pStyle w:val="EPFooter"/>
    </w:pPr>
    <w:r w:rsidRPr="005402B3">
      <w:rPr>
        <w:rStyle w:val="HideTWBExt"/>
      </w:rPr>
      <w:t>&lt;PathFdR&gt;</w:t>
    </w:r>
    <w:r w:rsidRPr="005402B3">
      <w:t>RE\1324492FR.docx</w:t>
    </w:r>
    <w:r w:rsidRPr="005402B3">
      <w:rPr>
        <w:rStyle w:val="HideTWBExt"/>
      </w:rPr>
      <w:t>&lt;/PathFdR&gt;</w:t>
    </w:r>
    <w:r w:rsidRPr="005402B3">
      <w:tab/>
    </w:r>
    <w:r w:rsidRPr="005402B3">
      <w:fldChar w:fldCharType="begin"/>
    </w:r>
    <w:r w:rsidRPr="005402B3">
      <w:instrText xml:space="preserve"> PAGE  \* MERGEFORMAT </w:instrText>
    </w:r>
    <w:r w:rsidRPr="005402B3">
      <w:fldChar w:fldCharType="separate"/>
    </w:r>
    <w:r w:rsidR="001268F4">
      <w:rPr>
        <w:noProof/>
      </w:rPr>
      <w:t>5</w:t>
    </w:r>
    <w:r w:rsidRPr="005402B3">
      <w:fldChar w:fldCharType="end"/>
    </w:r>
    <w:r w:rsidRPr="005402B3">
      <w:t>/</w:t>
    </w:r>
    <w:fldSimple w:instr=" NUMPAGES  \* MERGEFORMAT ">
      <w:r w:rsidR="001268F4">
        <w:rPr>
          <w:noProof/>
        </w:rPr>
        <w:t>6</w:t>
      </w:r>
    </w:fldSimple>
    <w:r w:rsidRPr="005402B3">
      <w:tab/>
      <w:t>PE</w:t>
    </w:r>
    <w:r w:rsidRPr="005402B3">
      <w:rPr>
        <w:rStyle w:val="HideTWBExt"/>
      </w:rPr>
      <w:t>&lt;NoPE&gt;</w:t>
    </w:r>
    <w:r w:rsidRPr="005402B3">
      <w:t>774.014</w:t>
    </w:r>
    <w:r w:rsidRPr="005402B3">
      <w:rPr>
        <w:rStyle w:val="HideTWBExt"/>
      </w:rPr>
      <w:t>&lt;/NoPE&gt;&lt;Version&gt;</w:t>
    </w:r>
    <w:r w:rsidRPr="005402B3">
      <w:t>v01-00</w:t>
    </w:r>
    <w:r w:rsidRPr="005402B3">
      <w:rPr>
        <w:rStyle w:val="HideTWBExt"/>
      </w:rPr>
      <w:t>&lt;/Version&gt;</w:t>
    </w:r>
  </w:p>
  <w:p w:rsidR="000C7B89" w:rsidRPr="005402B3" w:rsidRDefault="005402B3" w:rsidP="005402B3">
    <w:pPr>
      <w:pStyle w:val="EPFooter2"/>
    </w:pPr>
    <w:r w:rsidRPr="005402B3">
      <w:tab/>
    </w:r>
    <w:r w:rsidRPr="005402B3">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B3" w:rsidRPr="005402B3" w:rsidRDefault="005402B3" w:rsidP="005402B3">
    <w:pPr>
      <w:pStyle w:val="EPFooter"/>
    </w:pPr>
    <w:r w:rsidRPr="005402B3">
      <w:rPr>
        <w:rStyle w:val="HideTWBExt"/>
      </w:rPr>
      <w:t>&lt;PathFdR&gt;</w:t>
    </w:r>
    <w:r w:rsidRPr="005402B3">
      <w:t>RE\1324492FR.docx</w:t>
    </w:r>
    <w:r w:rsidRPr="005402B3">
      <w:rPr>
        <w:rStyle w:val="HideTWBExt"/>
      </w:rPr>
      <w:t>&lt;/PathFdR&gt;</w:t>
    </w:r>
    <w:r w:rsidRPr="005402B3">
      <w:tab/>
    </w:r>
    <w:r w:rsidRPr="005402B3">
      <w:tab/>
      <w:t>PE</w:t>
    </w:r>
    <w:r w:rsidRPr="005402B3">
      <w:rPr>
        <w:rStyle w:val="HideTWBExt"/>
      </w:rPr>
      <w:t>&lt;NoPE&gt;</w:t>
    </w:r>
    <w:r w:rsidRPr="005402B3">
      <w:t>774.014</w:t>
    </w:r>
    <w:r w:rsidRPr="005402B3">
      <w:rPr>
        <w:rStyle w:val="HideTWBExt"/>
      </w:rPr>
      <w:t>&lt;/NoPE&gt;&lt;Version&gt;</w:t>
    </w:r>
    <w:r w:rsidRPr="005402B3">
      <w:t>v01-00</w:t>
    </w:r>
    <w:r w:rsidRPr="005402B3">
      <w:rPr>
        <w:rStyle w:val="HideTWBExt"/>
      </w:rPr>
      <w:t>&lt;/Version&gt;</w:t>
    </w:r>
  </w:p>
  <w:p w:rsidR="000C7B89" w:rsidRPr="005402B3" w:rsidRDefault="005402B3" w:rsidP="005402B3">
    <w:pPr>
      <w:pStyle w:val="EPFooter2"/>
    </w:pPr>
    <w:r w:rsidRPr="005402B3">
      <w:t>FR</w:t>
    </w:r>
    <w:r w:rsidRPr="005402B3">
      <w:tab/>
    </w:r>
    <w:r w:rsidRPr="005402B3">
      <w:rPr>
        <w:b w:val="0"/>
        <w:i/>
        <w:color w:val="C0C0C0"/>
        <w:sz w:val="22"/>
      </w:rPr>
      <w:t>Unie dans la diversité</w:t>
    </w:r>
    <w:r w:rsidRPr="005402B3">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B33" w:rsidRPr="005402B3" w:rsidRDefault="008C6B33">
      <w:r w:rsidRPr="005402B3">
        <w:separator/>
      </w:r>
    </w:p>
  </w:footnote>
  <w:footnote w:type="continuationSeparator" w:id="0">
    <w:p w:rsidR="008C6B33" w:rsidRPr="005402B3" w:rsidRDefault="008C6B33">
      <w:r w:rsidRPr="005402B3">
        <w:continuationSeparator/>
      </w:r>
    </w:p>
  </w:footnote>
  <w:footnote w:id="1">
    <w:p w:rsidR="00204C53" w:rsidRPr="005402B3" w:rsidRDefault="00204C53" w:rsidP="00204C53">
      <w:pPr>
        <w:pStyle w:val="FootnoteText"/>
      </w:pPr>
      <w:r w:rsidRPr="005402B3">
        <w:rPr>
          <w:rStyle w:val="FootnoteReference"/>
        </w:rPr>
        <w:footnoteRef/>
      </w:r>
      <w:r w:rsidRPr="005402B3">
        <w:rPr>
          <w:rStyle w:val="FootnoteReference"/>
        </w:rPr>
        <w:t xml:space="preserve"> </w:t>
      </w:r>
      <w:r w:rsidRPr="005402B3">
        <w:t>Règlement (UE) 2024/1620 du Parlement européen et du Conseil du 31 mai 2024 instituant l'Autorité de lutte contre le blanchiment de capitaux et le financement du terrorisme et modifiant les règlements (UE) nº 1093/2010, (UE) nº 1094/2010 et (UE) nº 1095/2010 (JO L, 2024/1620, 19.6.2024, ELI: http://data.europa.eu/eli/reg/2024/1620/oj).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8F4" w:rsidRDefault="00126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8F4" w:rsidRDefault="001268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8F4" w:rsidRDefault="001268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ONMNU" w:val=" 2"/>
    <w:docVar w:name="ACTMNU" w:val=" 1"/>
    <w:docVar w:name="COMGROUPMNU" w:val=" 2"/>
    <w:docVar w:name="DELACTDT" w:val="10/06/2025"/>
    <w:docVar w:name="DOCMNU" w:val=" 1"/>
    <w:docVar w:name="DOCTYPEMNU" w:val="2"/>
    <w:docVar w:name="INSTMNU" w:val=" 1"/>
    <w:docVar w:name="LastEditedSection" w:val=" 1"/>
    <w:docVar w:name="SERIALNRMNU" w:val=" 1"/>
    <w:docVar w:name="strDocTypeID" w:val="RD_DelAct_Objections"/>
    <w:docVar w:name="strSubDir" w:val="1324"/>
    <w:docVar w:name="TXTLANGUE" w:val="EN"/>
    <w:docVar w:name="TXTLANGUEMIN" w:val="en"/>
    <w:docVar w:name="TXTNRB" w:val="0318/2025"/>
    <w:docVar w:name="TXTNRC" w:val="d"/>
    <w:docVar w:name="TXTNRDEA" w:val="C(2025)03815 - 2025/2740"/>
    <w:docVar w:name="TXTNRPE" w:val="774.014"/>
    <w:docVar w:name="TXTNRREG" w:val="d"/>
    <w:docVar w:name="TXTPEorAP" w:val="PE"/>
    <w:docVar w:name="TXTROUTE" w:val="RE\1324492EN.docx"/>
    <w:docVar w:name="TXTTITLE" w:val="amending Delegated Regulation (EU) 2016/1675 to add Algeria, Angola, Côte d’Ivoire, Kenya, Laos, Lebanon, Monaco, Namibia, Nepal and Venezuela to the list of high-risk third countries which have provided a written high-level political commitment to address the identified deficiencies and have developed an action plan with the FATF, and to remove Barbados, Gibraltar, Jamaica, Panama, the Philippines, Senegal, Uganda and the United Arab Emirates from that list"/>
    <w:docVar w:name="TXTVERSION" w:val="01-00"/>
  </w:docVars>
  <w:rsids>
    <w:rsidRoot w:val="008C6B33"/>
    <w:rsid w:val="00005AFD"/>
    <w:rsid w:val="00093F7A"/>
    <w:rsid w:val="000C7B89"/>
    <w:rsid w:val="000F3F4F"/>
    <w:rsid w:val="00105F8B"/>
    <w:rsid w:val="00112650"/>
    <w:rsid w:val="00115B1A"/>
    <w:rsid w:val="001268F4"/>
    <w:rsid w:val="0013138E"/>
    <w:rsid w:val="00152F37"/>
    <w:rsid w:val="001601B9"/>
    <w:rsid w:val="00174648"/>
    <w:rsid w:val="00177FFC"/>
    <w:rsid w:val="00187BF3"/>
    <w:rsid w:val="001C4DA9"/>
    <w:rsid w:val="001D6517"/>
    <w:rsid w:val="001E685D"/>
    <w:rsid w:val="001E693A"/>
    <w:rsid w:val="00204C53"/>
    <w:rsid w:val="0020715F"/>
    <w:rsid w:val="0029106D"/>
    <w:rsid w:val="00346344"/>
    <w:rsid w:val="00370299"/>
    <w:rsid w:val="00377FB8"/>
    <w:rsid w:val="003A6612"/>
    <w:rsid w:val="003C19D7"/>
    <w:rsid w:val="00413E5E"/>
    <w:rsid w:val="00420B46"/>
    <w:rsid w:val="00427894"/>
    <w:rsid w:val="004D0CCC"/>
    <w:rsid w:val="004D2659"/>
    <w:rsid w:val="005379E0"/>
    <w:rsid w:val="005402B3"/>
    <w:rsid w:val="00560E87"/>
    <w:rsid w:val="005610C7"/>
    <w:rsid w:val="00591AEA"/>
    <w:rsid w:val="00594254"/>
    <w:rsid w:val="005E0BC3"/>
    <w:rsid w:val="006008EF"/>
    <w:rsid w:val="00627E7C"/>
    <w:rsid w:val="006405A7"/>
    <w:rsid w:val="00680742"/>
    <w:rsid w:val="00693B4D"/>
    <w:rsid w:val="006B4452"/>
    <w:rsid w:val="00765B61"/>
    <w:rsid w:val="00776BEB"/>
    <w:rsid w:val="00793850"/>
    <w:rsid w:val="007945A0"/>
    <w:rsid w:val="007974DD"/>
    <w:rsid w:val="007A62C6"/>
    <w:rsid w:val="007B50DB"/>
    <w:rsid w:val="007F7BE8"/>
    <w:rsid w:val="0081065B"/>
    <w:rsid w:val="00824B90"/>
    <w:rsid w:val="00841E04"/>
    <w:rsid w:val="008B1B93"/>
    <w:rsid w:val="008C6B33"/>
    <w:rsid w:val="008D7EB6"/>
    <w:rsid w:val="008E0320"/>
    <w:rsid w:val="0098344E"/>
    <w:rsid w:val="009B62A7"/>
    <w:rsid w:val="009D7AF4"/>
    <w:rsid w:val="00A43EB8"/>
    <w:rsid w:val="00A607AD"/>
    <w:rsid w:val="00A93F71"/>
    <w:rsid w:val="00AA2B14"/>
    <w:rsid w:val="00AA4A84"/>
    <w:rsid w:val="00AE19FE"/>
    <w:rsid w:val="00B73C00"/>
    <w:rsid w:val="00BB4EB1"/>
    <w:rsid w:val="00C03AB9"/>
    <w:rsid w:val="00C23D9C"/>
    <w:rsid w:val="00C74D7B"/>
    <w:rsid w:val="00CA5674"/>
    <w:rsid w:val="00CA6266"/>
    <w:rsid w:val="00CE2364"/>
    <w:rsid w:val="00CE3096"/>
    <w:rsid w:val="00D32A3B"/>
    <w:rsid w:val="00D32C4B"/>
    <w:rsid w:val="00D462E2"/>
    <w:rsid w:val="00D60FF7"/>
    <w:rsid w:val="00D765D6"/>
    <w:rsid w:val="00D9688B"/>
    <w:rsid w:val="00E11F98"/>
    <w:rsid w:val="00E273D7"/>
    <w:rsid w:val="00E323D6"/>
    <w:rsid w:val="00E856DE"/>
    <w:rsid w:val="00EB4474"/>
    <w:rsid w:val="00ED10D6"/>
    <w:rsid w:val="00EF546B"/>
    <w:rsid w:val="00F52813"/>
    <w:rsid w:val="00F6637E"/>
    <w:rsid w:val="00F75D46"/>
    <w:rsid w:val="00F9151F"/>
    <w:rsid w:val="00FB083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B435945"/>
  <w15:chartTrackingRefBased/>
  <w15:docId w15:val="{59A8C915-F2A4-4BE7-8308-7DBC86DA0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E0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065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D32C4B"/>
    <w:pPr>
      <w:spacing w:after="240"/>
      <w:ind w:left="1418"/>
    </w:pPr>
  </w:style>
  <w:style w:type="paragraph" w:customStyle="1" w:styleId="CoverNormal24a">
    <w:name w:val="CoverNormal24a"/>
    <w:basedOn w:val="Normal"/>
    <w:rsid w:val="00D32C4B"/>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CE2364"/>
    <w:pPr>
      <w:spacing w:after="480"/>
      <w:ind w:left="1418"/>
    </w:pPr>
    <w:rPr>
      <w:rFonts w:ascii="Arial" w:hAnsi="Arial"/>
      <w:b/>
      <w:sz w:val="48"/>
    </w:rPr>
  </w:style>
  <w:style w:type="paragraph" w:styleId="Header">
    <w:name w:val="header"/>
    <w:basedOn w:val="Normal"/>
    <w:link w:val="HeaderChar"/>
    <w:semiHidden/>
    <w:rsid w:val="008D7EB6"/>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68074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1C4DA9"/>
    <w:pPr>
      <w:spacing w:after="480"/>
      <w:ind w:left="1418"/>
    </w:pPr>
    <w:rPr>
      <w:b/>
    </w:rPr>
  </w:style>
  <w:style w:type="paragraph" w:customStyle="1" w:styleId="EPName">
    <w:name w:val="EPName"/>
    <w:basedOn w:val="Normal"/>
    <w:rsid w:val="001D6517"/>
    <w:pPr>
      <w:spacing w:before="80" w:after="80"/>
    </w:pPr>
    <w:rPr>
      <w:rFonts w:ascii="Arial Narrow" w:hAnsi="Arial Narrow" w:cs="Arial"/>
      <w:b/>
      <w:sz w:val="32"/>
      <w:szCs w:val="22"/>
    </w:rPr>
  </w:style>
  <w:style w:type="paragraph" w:customStyle="1" w:styleId="EPTerm">
    <w:name w:val="EPTerm"/>
    <w:basedOn w:val="Normal"/>
    <w:next w:val="Normal"/>
    <w:rsid w:val="001D6517"/>
    <w:pPr>
      <w:spacing w:after="80"/>
    </w:pPr>
    <w:rPr>
      <w:rFonts w:ascii="Arial" w:hAnsi="Arial" w:cs="Arial"/>
      <w:sz w:val="20"/>
      <w:szCs w:val="22"/>
    </w:rPr>
  </w:style>
  <w:style w:type="paragraph" w:customStyle="1" w:styleId="EPLogo">
    <w:name w:val="EPLogo"/>
    <w:basedOn w:val="Normal"/>
    <w:qFormat/>
    <w:rsid w:val="001D6517"/>
    <w:pPr>
      <w:jc w:val="right"/>
    </w:pPr>
  </w:style>
  <w:style w:type="paragraph" w:customStyle="1" w:styleId="CoverReference">
    <w:name w:val="CoverReference"/>
    <w:basedOn w:val="Normal"/>
    <w:rsid w:val="00680742"/>
    <w:pPr>
      <w:spacing w:before="1080"/>
      <w:jc w:val="right"/>
    </w:pPr>
    <w:rPr>
      <w:rFonts w:ascii="Arial" w:hAnsi="Arial" w:cs="Arial"/>
      <w:b/>
    </w:rPr>
  </w:style>
  <w:style w:type="paragraph" w:customStyle="1" w:styleId="CoverDate">
    <w:name w:val="CoverDate"/>
    <w:basedOn w:val="Normal"/>
    <w:rsid w:val="00680742"/>
    <w:pPr>
      <w:spacing w:before="240" w:after="1200"/>
    </w:pPr>
  </w:style>
  <w:style w:type="paragraph" w:customStyle="1" w:styleId="NormalBold">
    <w:name w:val="NormalBold"/>
    <w:basedOn w:val="Normal"/>
    <w:rsid w:val="00D32C4B"/>
    <w:rPr>
      <w:b/>
    </w:rPr>
  </w:style>
  <w:style w:type="paragraph" w:customStyle="1" w:styleId="EPFooter">
    <w:name w:val="EPFooter"/>
    <w:basedOn w:val="Normal"/>
    <w:rsid w:val="00CE236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D7EB6"/>
    <w:rPr>
      <w:sz w:val="24"/>
    </w:rPr>
  </w:style>
  <w:style w:type="paragraph" w:customStyle="1" w:styleId="NormalHangingLeft12a">
    <w:name w:val="NormalHangingLeft12a"/>
    <w:basedOn w:val="Normal"/>
    <w:rsid w:val="00420B46"/>
    <w:pPr>
      <w:spacing w:after="240"/>
      <w:ind w:left="1134" w:hanging="567"/>
    </w:pPr>
  </w:style>
  <w:style w:type="paragraph" w:styleId="FootnoteText">
    <w:name w:val="footnote text"/>
    <w:basedOn w:val="Normal"/>
    <w:link w:val="FootnoteTextChar"/>
    <w:rsid w:val="00204C53"/>
    <w:rPr>
      <w:sz w:val="20"/>
    </w:rPr>
  </w:style>
  <w:style w:type="character" w:customStyle="1" w:styleId="FootnoteTextChar">
    <w:name w:val="Footnote Text Char"/>
    <w:basedOn w:val="DefaultParagraphFont"/>
    <w:link w:val="FootnoteText"/>
    <w:rsid w:val="00204C53"/>
  </w:style>
  <w:style w:type="character" w:styleId="FootnoteReference">
    <w:name w:val="footnote reference"/>
    <w:basedOn w:val="DefaultParagraphFont"/>
    <w:rsid w:val="00204C53"/>
    <w:rPr>
      <w:vertAlign w:val="superscript"/>
    </w:rPr>
  </w:style>
  <w:style w:type="paragraph" w:styleId="Footer">
    <w:name w:val="footer"/>
    <w:basedOn w:val="Normal"/>
    <w:link w:val="FooterChar"/>
    <w:rsid w:val="00D9688B"/>
    <w:pPr>
      <w:tabs>
        <w:tab w:val="center" w:pos="4513"/>
        <w:tab w:val="right" w:pos="9026"/>
      </w:tabs>
    </w:pPr>
  </w:style>
  <w:style w:type="character" w:customStyle="1" w:styleId="FooterChar">
    <w:name w:val="Footer Char"/>
    <w:basedOn w:val="DefaultParagraphFont"/>
    <w:link w:val="Footer"/>
    <w:rsid w:val="00D9688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665399">
      <w:bodyDiv w:val="1"/>
      <w:marLeft w:val="0"/>
      <w:marRight w:val="0"/>
      <w:marTop w:val="0"/>
      <w:marBottom w:val="0"/>
      <w:divBdr>
        <w:top w:val="none" w:sz="0" w:space="0" w:color="auto"/>
        <w:left w:val="none" w:sz="0" w:space="0" w:color="auto"/>
        <w:bottom w:val="none" w:sz="0" w:space="0" w:color="auto"/>
        <w:right w:val="none" w:sz="0" w:space="0" w:color="auto"/>
      </w:divBdr>
    </w:div>
    <w:div w:id="64612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2115</Words>
  <Characters>11339</Characters>
  <Application>Microsoft Office Word</Application>
  <DocSecurity>0</DocSecurity>
  <Lines>185</Lines>
  <Paragraphs>45</Paragraphs>
  <ScaleCrop>false</ScaleCrop>
  <HeadingPairs>
    <vt:vector size="2" baseType="variant">
      <vt:variant>
        <vt:lpstr>Title</vt:lpstr>
      </vt:variant>
      <vt:variant>
        <vt:i4>1</vt:i4>
      </vt:variant>
    </vt:vector>
  </HeadingPairs>
  <TitlesOfParts>
    <vt:vector size="1" baseType="lpstr">
      <vt:lpstr>RE_DelAct_Objections</vt:lpstr>
    </vt:vector>
  </TitlesOfParts>
  <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RD_DelAct_Objections</dc:title>
  <dc:subject/>
  <dc:creator>DERMIGNY Leslie Caroline</dc:creator>
  <cp:keywords/>
  <dc:description/>
  <cp:lastModifiedBy>Author</cp:lastModifiedBy>
  <cp:revision>2</cp:revision>
  <cp:lastPrinted>2004-11-19T15:29:00Z</cp:lastPrinted>
  <dcterms:created xsi:type="dcterms:W3CDTF">2025-07-07T10:26:00Z</dcterms:created>
  <dcterms:modified xsi:type="dcterms:W3CDTF">2025-07-07T10:26:00Z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[20250615]</vt:lpwstr>
  </property>
  <property fmtid="{D5CDD505-2E9C-101B-9397-08002B2CF9AE}" pid="4" name="LastEdited with">
    <vt:lpwstr>10.1.2 Build [20250615]</vt:lpwstr>
  </property>
  <property fmtid="{D5CDD505-2E9C-101B-9397-08002B2CF9AE}" pid="5" name="&lt;FdR&gt;">
    <vt:lpwstr>1324492</vt:lpwstr>
  </property>
  <property fmtid="{D5CDD505-2E9C-101B-9397-08002B2CF9AE}" pid="6" name="&lt;Type&gt;">
    <vt:lpwstr>RE</vt:lpwstr>
  </property>
  <property fmtid="{D5CDD505-2E9C-101B-9397-08002B2CF9AE}" pid="7" name="&lt;ModelCod&gt;">
    <vt:lpwstr>\\eiciLUXpr1\pdocep$\DocEP\DOCS\General\RD\RD_DelAct\\RD_DelAct_Objections.dotx(12/08/2024 17:20:00)</vt:lpwstr>
  </property>
  <property fmtid="{D5CDD505-2E9C-101B-9397-08002B2CF9AE}" pid="8" name="&lt;ModelTra&gt;">
    <vt:lpwstr>\\eiciLUXpr1\pdocep$\DocEP\TRANSFIL\EN\RD_DelAct_Objections.EN(08/11/2024 07:27:03)</vt:lpwstr>
  </property>
  <property fmtid="{D5CDD505-2E9C-101B-9397-08002B2CF9AE}" pid="9" name="&lt;Model&gt;">
    <vt:lpwstr>RD_DelAct_Objections</vt:lpwstr>
  </property>
  <property fmtid="{D5CDD505-2E9C-101B-9397-08002B2CF9AE}" pid="10" name="FooterPath">
    <vt:lpwstr>RE\1324492FR.docx</vt:lpwstr>
  </property>
  <property fmtid="{D5CDD505-2E9C-101B-9397-08002B2CF9AE}" pid="11" name="PE number">
    <vt:lpwstr>774.014</vt:lpwstr>
  </property>
  <property fmtid="{D5CDD505-2E9C-101B-9397-08002B2CF9AE}" pid="12" name="Bookout">
    <vt:lpwstr>OK - 2025/07/07 12:26</vt:lpwstr>
  </property>
  <property fmtid="{D5CDD505-2E9C-101B-9397-08002B2CF9AE}" pid="13" name="SDLStudio">
    <vt:lpwstr/>
  </property>
</Properties>
</file>