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6C21EAA" w14:textId="77777777" w:rsidTr="00C85D0F">
        <w:tblPrEx>
          <w:tblW w:w="9072" w:type="dxa"/>
          <w:tblCellMar>
            <w:left w:w="0" w:type="dxa"/>
            <w:right w:w="0" w:type="dxa"/>
          </w:tblCellMar>
          <w:tblLook w:val="01E0"/>
        </w:tblPrEx>
        <w:trPr>
          <w:trHeight w:hRule="exact" w:val="1418"/>
        </w:trPr>
        <w:tc>
          <w:tcPr>
            <w:tcW w:w="6804" w:type="dxa"/>
            <w:vAlign w:val="center"/>
          </w:tcPr>
          <w:p w:rsidR="0037154C" w:rsidRPr="00C77374" w:rsidP="00C85D0F" w14:paraId="2C8F3665" w14:textId="472FF9F2">
            <w:pPr>
              <w:pStyle w:val="EPName"/>
            </w:pPr>
            <w:r w:rsidRPr="00C77374">
              <w:t>European Parliament</w:t>
            </w:r>
          </w:p>
          <w:p w:rsidR="0037154C" w:rsidRPr="00260B55" w:rsidP="00C85D0F" w14:paraId="0D268807" w14:textId="3603018E">
            <w:pPr>
              <w:pStyle w:val="EPTerm"/>
            </w:pPr>
            <w:r>
              <w:t>2024-2029</w:t>
            </w:r>
          </w:p>
        </w:tc>
        <w:tc>
          <w:tcPr>
            <w:tcW w:w="2268" w:type="dxa"/>
          </w:tcPr>
          <w:p w:rsidR="0037154C" w:rsidRPr="00C77374" w:rsidP="00C85D0F" w14:paraId="1A3D2506" w14:textId="77777777">
            <w:pPr>
              <w:pStyle w:val="EPLogo"/>
            </w:pPr>
            <w:r w:rsidRPr="00C7737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694800"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55F2B" w:rsidRPr="00C77374" w:rsidP="00155F2B" w14:paraId="501F1E2C" w14:textId="77777777">
      <w:pPr>
        <w:pStyle w:val="LineTop"/>
      </w:pPr>
    </w:p>
    <w:p w:rsidR="00155F2B" w:rsidRPr="00C77374" w:rsidP="00155F2B" w14:paraId="54D56396" w14:textId="5D72A069">
      <w:pPr>
        <w:pStyle w:val="EPBody"/>
      </w:pPr>
      <w:r w:rsidRPr="00C77374">
        <w:t>Plenary sitting</w:t>
      </w:r>
    </w:p>
    <w:p w:rsidR="00163C89" w:rsidRPr="00C77374" w:rsidP="00163C89" w14:paraId="195A5706" w14:textId="77777777">
      <w:pPr>
        <w:pStyle w:val="LineBottom"/>
      </w:pPr>
    </w:p>
    <w:p w:rsidR="00163C89" w:rsidRPr="00C77374" w:rsidP="00163C89" w14:paraId="39C93960" w14:textId="5CAB68E7">
      <w:pPr>
        <w:pStyle w:val="CoverReference"/>
      </w:pPr>
      <w:r w:rsidRPr="00C77374">
        <w:rPr>
          <w:rStyle w:val="HideTWBExt"/>
          <w:b w:val="0"/>
        </w:rPr>
        <w:t>&lt;NoDocSe&gt;</w:t>
      </w:r>
      <w:r w:rsidR="00260B55">
        <w:t>B10</w:t>
      </w:r>
      <w:r w:rsidR="00260B55">
        <w:noBreakHyphen/>
      </w:r>
      <w:r w:rsidRPr="00260B55" w:rsidR="00260B55">
        <w:t>0442/2026</w:t>
      </w:r>
      <w:r w:rsidRPr="00C77374">
        <w:rPr>
          <w:rStyle w:val="HideTWBExt"/>
          <w:b w:val="0"/>
        </w:rPr>
        <w:t>&lt;/NoDocSe&gt;</w:t>
      </w:r>
    </w:p>
    <w:p w:rsidR="00163C89" w:rsidRPr="00C77374" w:rsidP="00163C89" w14:paraId="77AAFA8D" w14:textId="4AC2B8C0">
      <w:pPr>
        <w:pStyle w:val="CoverDate"/>
      </w:pPr>
      <w:r w:rsidRPr="00C77374">
        <w:rPr>
          <w:rStyle w:val="HideTWBExt"/>
        </w:rPr>
        <w:t>&lt;Date&gt;</w:t>
      </w:r>
      <w:r w:rsidRPr="00260B55" w:rsidR="00260B55">
        <w:rPr>
          <w:rStyle w:val="HideTWBInt"/>
        </w:rPr>
        <w:t>{06/10/2026}</w:t>
      </w:r>
      <w:r w:rsidR="00260B55">
        <w:t>6.10.2026</w:t>
      </w:r>
      <w:r w:rsidRPr="00C77374">
        <w:rPr>
          <w:rStyle w:val="HideTWBExt"/>
        </w:rPr>
        <w:t>&lt;/Date&gt;</w:t>
      </w:r>
    </w:p>
    <w:p w:rsidR="00221528" w:rsidRPr="00C77374" w14:paraId="755AFBE4" w14:textId="0D6746DC">
      <w:pPr>
        <w:pStyle w:val="CoverDocType24a"/>
      </w:pPr>
      <w:r w:rsidRPr="00C77374">
        <w:rPr>
          <w:rStyle w:val="HideTWBExt"/>
          <w:b w:val="0"/>
        </w:rPr>
        <w:t>&lt;TitreType&gt;</w:t>
      </w:r>
      <w:r w:rsidRPr="00C77374" w:rsidR="00C77374">
        <w:t>MOTION FOR A RESOLUTION</w:t>
      </w:r>
      <w:r w:rsidRPr="00C77374">
        <w:rPr>
          <w:rStyle w:val="HideTWBExt"/>
          <w:b w:val="0"/>
        </w:rPr>
        <w:t>&lt;/TitreType&gt;</w:t>
      </w:r>
    </w:p>
    <w:p w:rsidR="00221528" w:rsidRPr="00C77374" w14:paraId="3E7E3FA8" w14:textId="3FC81C03">
      <w:pPr>
        <w:pStyle w:val="CoverNormal12a"/>
      </w:pPr>
      <w:r w:rsidRPr="00C77374">
        <w:rPr>
          <w:rStyle w:val="HideTWBExt"/>
        </w:rPr>
        <w:t>&lt;TitreSuite&gt;</w:t>
      </w:r>
      <w:r w:rsidRPr="00C77374" w:rsidR="00C77374">
        <w:t>with request for inclusion in the agenda for a debate on cases of breaches of human rights, democracy and the rule of law</w:t>
      </w:r>
      <w:r w:rsidRPr="00C77374">
        <w:rPr>
          <w:rStyle w:val="HideTWBExt"/>
        </w:rPr>
        <w:t>&lt;/TitreSuite&gt;</w:t>
      </w:r>
    </w:p>
    <w:p w:rsidR="00221528" w:rsidRPr="00C77374" w14:paraId="0C5CE42E" w14:textId="1E33A755">
      <w:pPr>
        <w:pStyle w:val="CoverNormal12a"/>
      </w:pPr>
      <w:r w:rsidRPr="00C77374">
        <w:rPr>
          <w:rStyle w:val="HideTWBExt"/>
        </w:rPr>
        <w:t>&lt;TitreRecueil&gt;</w:t>
      </w:r>
      <w:r w:rsidRPr="00C77374" w:rsidR="00C77374">
        <w:t>pursuant to Rule 150 of the Rules of Procedure</w:t>
      </w:r>
      <w:r w:rsidRPr="00C77374">
        <w:rPr>
          <w:rStyle w:val="HideTWBExt"/>
        </w:rPr>
        <w:t>&lt;/TitreRecueil&gt;</w:t>
      </w:r>
    </w:p>
    <w:p w:rsidR="00260B55" w:rsidRPr="00260B55" w:rsidP="00260B55" w14:paraId="6FE85B82" w14:textId="2DD2428E">
      <w:pPr>
        <w:pStyle w:val="Cover12"/>
        <w:ind w:firstLine="0"/>
        <w:jc w:val="both"/>
      </w:pPr>
      <w:r w:rsidRPr="00C77374">
        <w:rPr>
          <w:rStyle w:val="HideTWBExt"/>
        </w:rPr>
        <w:t>&lt;Titre&gt;</w:t>
      </w:r>
      <w:r>
        <w:t xml:space="preserve">on </w:t>
      </w:r>
      <w:r w:rsidRPr="00260B55">
        <w:t>the cases of Ali Karimli, Anar Mammadli and other political prisoners in Azerbaijan</w:t>
      </w:r>
    </w:p>
    <w:p w:rsidR="002B315F" w:rsidRPr="00C77374" w:rsidP="002B315F" w14:paraId="62AA6B83" w14:textId="764FFECD">
      <w:pPr>
        <w:pStyle w:val="CoverNormal"/>
      </w:pPr>
      <w:r w:rsidRPr="00C77374">
        <w:rPr>
          <w:rStyle w:val="HideTWBExt"/>
        </w:rPr>
        <w:t>&lt;/Titre&gt;</w:t>
      </w:r>
    </w:p>
    <w:p w:rsidR="002B315F" w:rsidRPr="00260B55" w:rsidP="002B315F" w14:paraId="3EEB6046" w14:textId="76613F8E">
      <w:pPr>
        <w:pStyle w:val="CoverNormal24a"/>
        <w:rPr>
          <w:lang w:val="fi-FI"/>
        </w:rPr>
      </w:pPr>
      <w:r w:rsidRPr="00260B55">
        <w:rPr>
          <w:rStyle w:val="HideTWBExt"/>
          <w:lang w:val="fi-FI"/>
        </w:rPr>
        <w:t>&lt;DocRef&gt;</w:t>
      </w:r>
      <w:r w:rsidRPr="00260B55" w:rsidR="00C77374">
        <w:rPr>
          <w:lang w:val="fi-FI"/>
        </w:rPr>
        <w:t>(</w:t>
      </w:r>
      <w:r w:rsidRPr="00260B55" w:rsidR="00260B55">
        <w:rPr>
          <w:lang w:val="fi-FI"/>
        </w:rPr>
        <w:t>2026/2914</w:t>
      </w:r>
      <w:r w:rsidRPr="00260B55" w:rsidR="00C77374">
        <w:rPr>
          <w:lang w:val="fi-FI"/>
        </w:rPr>
        <w:t>(RSP))</w:t>
      </w:r>
      <w:r w:rsidRPr="00260B55">
        <w:rPr>
          <w:rStyle w:val="HideTWBExt"/>
          <w:lang w:val="fi-FI"/>
        </w:rPr>
        <w:t>&lt;/DocRef&gt;</w:t>
      </w:r>
    </w:p>
    <w:p w:rsidR="00D94703" w:rsidRPr="00260B55" w:rsidP="00D94703" w14:paraId="66D9358B" w14:textId="521B907C">
      <w:pPr>
        <w:pStyle w:val="CoverBold"/>
        <w:rPr>
          <w:lang w:val="fi-FI"/>
        </w:rPr>
      </w:pPr>
      <w:r w:rsidRPr="00260B55">
        <w:rPr>
          <w:rStyle w:val="HideTWBExt"/>
          <w:b w:val="0"/>
          <w:lang w:val="fi-FI"/>
        </w:rPr>
        <w:t>&lt;RepeatBlock-By&gt;&lt;Depute&gt;</w:t>
      </w:r>
      <w:r w:rsidRPr="00260B55" w:rsidR="00260B55">
        <w:rPr>
          <w:lang w:val="fi-FI"/>
        </w:rPr>
        <w:t xml:space="preserve">Catarina </w:t>
      </w:r>
      <w:r w:rsidRPr="00260B55" w:rsidR="00260B55">
        <w:rPr>
          <w:lang w:val="fi-FI"/>
        </w:rPr>
        <w:t>Vieira</w:t>
      </w:r>
      <w:r w:rsidRPr="00260B55" w:rsidR="00260B55">
        <w:rPr>
          <w:lang w:val="fi-FI"/>
        </w:rPr>
        <w:t xml:space="preserve">, Ville Niinistö, </w:t>
      </w:r>
      <w:r w:rsidR="00260B55">
        <w:rPr>
          <w:lang w:val="fi-FI"/>
        </w:rPr>
        <w:t xml:space="preserve">Maria Ohisalo, </w:t>
      </w:r>
      <w:r w:rsidR="00260B55">
        <w:rPr>
          <w:lang w:val="fi-FI"/>
        </w:rPr>
        <w:t>Nicolae</w:t>
      </w:r>
      <w:r w:rsidR="00260B55">
        <w:rPr>
          <w:lang w:val="fi-FI"/>
        </w:rPr>
        <w:t xml:space="preserve"> </w:t>
      </w:r>
      <w:r w:rsidR="00260B55">
        <w:rPr>
          <w:lang w:val="fi-FI"/>
        </w:rPr>
        <w:t>Ștefănuță</w:t>
      </w:r>
      <w:r w:rsidR="00260B55">
        <w:rPr>
          <w:lang w:val="fi-FI"/>
        </w:rPr>
        <w:t xml:space="preserve">, Erik </w:t>
      </w:r>
      <w:r w:rsidR="00260B55">
        <w:rPr>
          <w:lang w:val="fi-FI"/>
        </w:rPr>
        <w:t>Marquardt</w:t>
      </w:r>
      <w:r w:rsidRPr="00260B55">
        <w:rPr>
          <w:rStyle w:val="HideTWBExt"/>
          <w:b w:val="0"/>
          <w:color w:val="auto"/>
          <w:lang w:val="fi-FI"/>
        </w:rPr>
        <w:t>&lt;/Depute&gt;</w:t>
      </w:r>
    </w:p>
    <w:p w:rsidR="00D94703" w:rsidRPr="00C77374" w:rsidP="00D94703" w14:paraId="35E806B7" w14:textId="04E65A20">
      <w:pPr>
        <w:pStyle w:val="CoverNormal"/>
      </w:pPr>
      <w:r w:rsidRPr="00C77374">
        <w:rPr>
          <w:rStyle w:val="HideTWBExt"/>
        </w:rPr>
        <w:t>&lt;Commission&gt;</w:t>
      </w:r>
      <w:r w:rsidRPr="00260B55" w:rsidR="00260B55">
        <w:rPr>
          <w:rStyle w:val="HideTWBInt"/>
        </w:rPr>
        <w:t>{Verts/ALE}</w:t>
      </w:r>
      <w:r w:rsidR="00260B55">
        <w:t>on behalf of the Verts/ALE Group</w:t>
      </w:r>
      <w:r w:rsidRPr="00C77374">
        <w:rPr>
          <w:rStyle w:val="HideTWBExt"/>
        </w:rPr>
        <w:t>&lt;/Commission&gt;</w:t>
      </w:r>
    </w:p>
    <w:p w:rsidR="00D94703" w:rsidRPr="00C77374" w:rsidP="00D94703" w14:paraId="21565F91" w14:textId="4846CD2B">
      <w:pPr>
        <w:pStyle w:val="CoverNormal"/>
      </w:pPr>
      <w:r w:rsidRPr="00C77374">
        <w:rPr>
          <w:rStyle w:val="HideTWBExt"/>
        </w:rPr>
        <w:t>&lt;/RepeatBlock-By&gt;</w:t>
      </w:r>
    </w:p>
    <w:p w:rsidR="00221528" w:rsidRPr="00C77374" w14:paraId="099D034A" w14:textId="2321C9B5">
      <w:pPr>
        <w:pStyle w:val="NormalBold12a"/>
      </w:pPr>
      <w:r w:rsidRPr="00C77374">
        <w:br w:type="page"/>
      </w:r>
      <w:r w:rsidR="00260B55">
        <w:t>B10</w:t>
      </w:r>
      <w:r w:rsidR="00260B55">
        <w:noBreakHyphen/>
      </w:r>
      <w:r w:rsidRPr="00260B55" w:rsidR="00260B55">
        <w:t>0442/2026</w:t>
      </w:r>
    </w:p>
    <w:p w:rsidR="00260B55" w:rsidRPr="00260B55" w:rsidP="002B315F" w14:paraId="64506701" w14:textId="4E9126BD">
      <w:pPr>
        <w:pStyle w:val="NormalBold"/>
      </w:pPr>
      <w:r w:rsidRPr="00C77374">
        <w:t xml:space="preserve">European Parliament resolution on </w:t>
      </w:r>
      <w:r w:rsidRPr="00260B55">
        <w:t>the cases of Ali Karimli, Anar Mammadli and other political prisoners in Azerbaijan</w:t>
      </w:r>
    </w:p>
    <w:p w:rsidR="002B315F" w:rsidRPr="00C77374" w:rsidP="002B315F" w14:paraId="6793D78A" w14:textId="7B8C6B6D">
      <w:pPr>
        <w:pStyle w:val="NormalBold"/>
      </w:pPr>
    </w:p>
    <w:p w:rsidR="002B315F" w:rsidRPr="00C77374" w:rsidP="0029017B" w14:paraId="2DC0C909" w14:textId="619DF526">
      <w:pPr>
        <w:pStyle w:val="NormalBold"/>
      </w:pPr>
      <w:r w:rsidRPr="00C77374">
        <w:t>(</w:t>
      </w:r>
      <w:r w:rsidRPr="00260B55" w:rsidR="00260B55">
        <w:t>2026/2914</w:t>
      </w:r>
      <w:r w:rsidRPr="00C77374">
        <w:t>(RSP))</w:t>
      </w:r>
    </w:p>
    <w:p w:rsidR="00DE2325" w:rsidRPr="00C77374" w:rsidP="0029017B" w14:paraId="57ED3A6E" w14:textId="2FA93471">
      <w:pPr>
        <w:pStyle w:val="EPComma"/>
      </w:pPr>
      <w:r w:rsidRPr="00C77374">
        <w:rPr>
          <w:i/>
        </w:rPr>
        <w:t>The European Parliament</w:t>
      </w:r>
      <w:r w:rsidRPr="00C77374">
        <w:t>,</w:t>
      </w:r>
    </w:p>
    <w:p w:rsidR="00260B55" w:rsidRPr="00655579" w:rsidP="00260B55" w14:paraId="55F3E443" w14:textId="77777777">
      <w:pPr>
        <w:pStyle w:val="Normal12Hanging"/>
        <w:jc w:val="both"/>
        <w:rPr>
          <w:szCs w:val="24"/>
        </w:rPr>
      </w:pPr>
      <w:r>
        <w:t xml:space="preserve"> </w:t>
      </w:r>
      <w:r w:rsidRPr="00655579">
        <w:rPr>
          <w:szCs w:val="24"/>
        </w:rPr>
        <w:t>–</w:t>
      </w:r>
      <w:r w:rsidRPr="00655579">
        <w:rPr>
          <w:szCs w:val="24"/>
        </w:rPr>
        <w:tab/>
        <w:t>having regard to its previous resolutions on Azerbaijan,</w:t>
      </w:r>
    </w:p>
    <w:p w:rsidR="00260B55" w:rsidRPr="00655579" w:rsidP="00260B55" w14:paraId="0888C9F1" w14:textId="77777777">
      <w:pPr>
        <w:pStyle w:val="Normal12Hanging"/>
        <w:jc w:val="both"/>
        <w:rPr>
          <w:szCs w:val="24"/>
        </w:rPr>
      </w:pPr>
      <w:r w:rsidRPr="00655579">
        <w:rPr>
          <w:szCs w:val="24"/>
        </w:rPr>
        <w:t>–</w:t>
      </w:r>
      <w:r w:rsidRPr="00655579">
        <w:rPr>
          <w:szCs w:val="24"/>
        </w:rPr>
        <w:tab/>
        <w:t>having regard to Rules 150 of its Rules of Procedure,</w:t>
      </w:r>
    </w:p>
    <w:p w:rsidR="00260B55" w:rsidRPr="00655579" w:rsidP="00260B55" w14:paraId="02B7CFBD" w14:textId="77777777">
      <w:pPr>
        <w:rPr>
          <w:szCs w:val="24"/>
        </w:rPr>
      </w:pPr>
    </w:p>
    <w:p w:rsidR="00260B55" w:rsidRPr="00655579" w:rsidP="00260B55" w14:paraId="60A92714" w14:textId="77777777">
      <w:pPr>
        <w:pStyle w:val="ListParagraph"/>
        <w:numPr>
          <w:ilvl w:val="0"/>
          <w:numId w:val="42"/>
        </w:numPr>
        <w:ind w:left="567" w:hanging="567"/>
        <w:rPr>
          <w:lang w:eastAsia="en-GB"/>
        </w:rPr>
      </w:pPr>
      <w:r w:rsidRPr="00655579">
        <w:rPr>
          <w:lang w:eastAsia="en-GB"/>
        </w:rPr>
        <w:t xml:space="preserve">whereas opposition leader Ali Karimli has been held in State Security Service detention on unsubstantiated charges since 29 November 2025; whereas Karimli has been subjected to increasingly punitive detention conditions, raising concerns regarding inhuman or degrading treatment; </w:t>
      </w:r>
    </w:p>
    <w:p w:rsidR="00260B55" w:rsidRPr="00655579" w:rsidP="00260B55" w14:paraId="544D048E" w14:textId="77777777">
      <w:pPr>
        <w:pStyle w:val="ListParagraph"/>
        <w:ind w:left="567" w:hanging="567"/>
        <w:rPr>
          <w:lang w:eastAsia="en-GB"/>
        </w:rPr>
      </w:pPr>
    </w:p>
    <w:p w:rsidR="00260B55" w:rsidRPr="00655579" w:rsidP="00260B55" w14:paraId="29B4A7B6" w14:textId="77777777">
      <w:pPr>
        <w:pStyle w:val="ListParagraph"/>
        <w:numPr>
          <w:ilvl w:val="0"/>
          <w:numId w:val="42"/>
        </w:numPr>
        <w:ind w:left="567" w:hanging="567"/>
        <w:rPr>
          <w:lang w:eastAsia="en-GB"/>
        </w:rPr>
      </w:pPr>
      <w:r w:rsidRPr="00655579">
        <w:rPr>
          <w:lang w:eastAsia="en-GB"/>
        </w:rPr>
        <w:t xml:space="preserve">whereas on 7 September 2026, prominent election monitor and human rights defender Anar Mammadli was sentenced to 13 years imprisonment following proceedings on politically motivated charges which were marred by serious due-process violations; </w:t>
      </w:r>
    </w:p>
    <w:p w:rsidR="00260B55" w:rsidRPr="00655579" w:rsidP="00260B55" w14:paraId="1292A8B8" w14:textId="77777777">
      <w:pPr>
        <w:pStyle w:val="ListParagraph"/>
        <w:ind w:left="567" w:hanging="567"/>
        <w:rPr>
          <w:lang w:eastAsia="en-GB"/>
        </w:rPr>
      </w:pPr>
    </w:p>
    <w:p w:rsidR="00260B55" w:rsidRPr="00655579" w:rsidP="00260B55" w14:paraId="1F5F45C8" w14:textId="77777777">
      <w:pPr>
        <w:pStyle w:val="ListParagraph"/>
        <w:numPr>
          <w:ilvl w:val="0"/>
          <w:numId w:val="42"/>
        </w:numPr>
        <w:ind w:left="567" w:hanging="567"/>
        <w:rPr>
          <w:lang w:eastAsia="en-GB"/>
        </w:rPr>
      </w:pPr>
      <w:r w:rsidRPr="00655579">
        <w:rPr>
          <w:lang w:eastAsia="en-GB"/>
        </w:rPr>
        <w:t>whereas these two cases exemplify the Aliyev regime’s accelerating crackdown, including exceptionally severe prison sentences against independent journalists, academics, and civil society activists in an effort to silence all critical voices; whereas the authorities continue entrenching a climate of fear, as arbitrary arrests have become commonplace, torture and ill-treatment in custody persist with impunity, and transnational repression ensures that critics are also not safe when abroad;</w:t>
      </w:r>
    </w:p>
    <w:p w:rsidR="00260B55" w:rsidRPr="00655579" w:rsidP="00260B55" w14:paraId="2504C035" w14:textId="77777777">
      <w:pPr>
        <w:ind w:left="567" w:hanging="567"/>
        <w:rPr>
          <w:szCs w:val="24"/>
        </w:rPr>
      </w:pPr>
    </w:p>
    <w:p w:rsidR="00260B55" w:rsidRPr="00655579" w:rsidP="00260B55" w14:paraId="424E6DB9" w14:textId="77777777">
      <w:pPr>
        <w:pStyle w:val="ListParagraph"/>
        <w:numPr>
          <w:ilvl w:val="0"/>
          <w:numId w:val="42"/>
        </w:numPr>
        <w:ind w:left="567" w:hanging="567"/>
        <w:rPr>
          <w:lang w:eastAsia="en-GB"/>
        </w:rPr>
      </w:pPr>
      <w:r w:rsidRPr="00655579">
        <w:rPr>
          <w:lang w:eastAsia="en-GB"/>
        </w:rPr>
        <w:t>whereas the EU is Azerbaijan's main trading partner, accounting for around 38% of Azerbaijan's total trade; whereas Article 21 TEU stipulates that the Union’s actions shall be guided by democracy, the rule of law, and the universality of human rights;</w:t>
      </w:r>
    </w:p>
    <w:p w:rsidR="00260B55" w:rsidRPr="00655579" w:rsidP="00260B55" w14:paraId="55D41C16" w14:textId="77777777">
      <w:pPr>
        <w:pStyle w:val="ListParagraph"/>
        <w:suppressAutoHyphens/>
        <w:spacing w:after="246" w:line="240" w:lineRule="atLeast"/>
        <w:ind w:left="567" w:hanging="567"/>
        <w:rPr>
          <w:lang w:eastAsia="en-GB"/>
        </w:rPr>
      </w:pPr>
    </w:p>
    <w:p w:rsidR="00260B55" w:rsidRPr="00655579" w:rsidP="00260B55" w14:paraId="45465594" w14:textId="77777777">
      <w:pPr>
        <w:pStyle w:val="ListParagraph"/>
        <w:suppressAutoHyphens/>
        <w:spacing w:after="246" w:line="240" w:lineRule="atLeast"/>
        <w:ind w:left="502"/>
        <w:rPr>
          <w:lang w:eastAsia="en-GB"/>
        </w:rPr>
      </w:pPr>
    </w:p>
    <w:p w:rsidR="00260B55" w:rsidRPr="00655579" w:rsidP="00260B55" w14:paraId="364DE396" w14:textId="77777777">
      <w:pPr>
        <w:pStyle w:val="ListParagraph"/>
        <w:numPr>
          <w:ilvl w:val="0"/>
          <w:numId w:val="41"/>
        </w:numPr>
        <w:suppressAutoHyphens/>
        <w:spacing w:after="246" w:line="240" w:lineRule="atLeast"/>
        <w:ind w:left="567" w:hanging="567"/>
        <w:rPr>
          <w:lang w:eastAsia="en-GB"/>
        </w:rPr>
      </w:pPr>
      <w:r w:rsidRPr="00655579">
        <w:rPr>
          <w:lang w:eastAsia="en-GB"/>
        </w:rPr>
        <w:t xml:space="preserve">Urges the Azerbaijani authorities to immediately and unconditionally release Ali Karimli and Anar Mammadli and end politically motivated prosecutions and the misuse of criminal law against opposition figures, journalists, election monitors, human rights defenders and civil society; </w:t>
      </w:r>
    </w:p>
    <w:p w:rsidR="00260B55" w:rsidRPr="00655579" w:rsidP="00260B55" w14:paraId="6520BCA5" w14:textId="77777777">
      <w:pPr>
        <w:pStyle w:val="ListParagraph"/>
        <w:ind w:left="567" w:hanging="567"/>
        <w:rPr>
          <w:lang w:eastAsia="en-GB"/>
        </w:rPr>
      </w:pPr>
    </w:p>
    <w:p w:rsidR="00260B55" w:rsidRPr="00655579" w:rsidP="00260B55" w14:paraId="33F1E6E6" w14:textId="77777777">
      <w:pPr>
        <w:pStyle w:val="ListParagraph"/>
        <w:numPr>
          <w:ilvl w:val="0"/>
          <w:numId w:val="41"/>
        </w:numPr>
        <w:suppressAutoHyphens/>
        <w:spacing w:after="246" w:line="240" w:lineRule="atLeast"/>
        <w:ind w:left="567" w:hanging="567"/>
        <w:contextualSpacing w:val="0"/>
        <w:rPr>
          <w:lang w:eastAsia="en-GB"/>
        </w:rPr>
      </w:pPr>
      <w:r w:rsidRPr="00655579">
        <w:rPr>
          <w:lang w:eastAsia="en-GB"/>
        </w:rPr>
        <w:t>Urges Azerbaijan to ensure that their cases are addressed in a manner consistent with international standards of due process, fair trial, and detention; calls on Azerbaijan to comply with recommendations of the Council of Europe’s Committee for the Prevention of Torture on physical ill-treatment by police and pre-trial detention centres, and to fully implement ECHR judgements concerning politically motivated prosecutions;</w:t>
      </w:r>
    </w:p>
    <w:p w:rsidR="00260B55" w:rsidRPr="00655579" w:rsidP="00260B55" w14:paraId="6233E10A" w14:textId="77777777">
      <w:pPr>
        <w:pStyle w:val="ListParagraph"/>
        <w:numPr>
          <w:ilvl w:val="0"/>
          <w:numId w:val="41"/>
        </w:numPr>
        <w:suppressAutoHyphens/>
        <w:spacing w:after="246" w:line="240" w:lineRule="atLeast"/>
        <w:ind w:left="567" w:hanging="567"/>
        <w:contextualSpacing w:val="0"/>
        <w:rPr>
          <w:lang w:eastAsia="en-GB"/>
        </w:rPr>
      </w:pPr>
      <w:r w:rsidRPr="00655579">
        <w:rPr>
          <w:lang w:eastAsia="en-GB"/>
        </w:rPr>
        <w:t xml:space="preserve">Reiterates its profound concern regarding the ever-worsening human rights situation in Azerbaijan, in particular the government’s severe restrictions on freedoms of expression, assembly, and association; calls on the EU to reassess its funding mechanisms for </w:t>
      </w:r>
      <w:r w:rsidRPr="00655579">
        <w:rPr>
          <w:lang w:eastAsia="en-GB"/>
        </w:rPr>
        <w:t>Azerbaijani civil society, and align them with the strategies used to support Belarusian civil society;</w:t>
      </w:r>
    </w:p>
    <w:p w:rsidR="00260B55" w:rsidRPr="00655579" w:rsidP="00260B55" w14:paraId="7B4D3484" w14:textId="77777777">
      <w:pPr>
        <w:pStyle w:val="ListParagraph"/>
        <w:numPr>
          <w:ilvl w:val="0"/>
          <w:numId w:val="41"/>
        </w:numPr>
        <w:suppressAutoHyphens/>
        <w:spacing w:after="246" w:line="240" w:lineRule="atLeast"/>
        <w:ind w:left="567" w:hanging="567"/>
        <w:contextualSpacing w:val="0"/>
        <w:rPr>
          <w:lang w:eastAsia="en-GB"/>
        </w:rPr>
      </w:pPr>
      <w:r w:rsidRPr="00655579">
        <w:rPr>
          <w:lang w:eastAsia="en-GB"/>
        </w:rPr>
        <w:t>Calls on the EU and Member States to prioritise, in line with Article 21 TEU, addressing Azerbaijan’s human rights violations and use the leverage as Azerbaijan’s main trading partner</w:t>
      </w:r>
      <w:r w:rsidRPr="00655579">
        <w:t>;</w:t>
      </w:r>
      <w:r w:rsidRPr="00655579">
        <w:rPr>
          <w:lang w:eastAsia="en-GB"/>
        </w:rPr>
        <w:t xml:space="preserve"> insists that the EU suspends all energy trade relations with Azerbaijan and freeze Partnership and Cooperation Agreement negotiations, making both conditional on the release of all political prisoners and </w:t>
      </w:r>
      <w:bookmarkStart w:id="0" w:name="_Hlk216430669"/>
      <w:r w:rsidRPr="00655579">
        <w:rPr>
          <w:lang w:eastAsia="en-GB"/>
        </w:rPr>
        <w:t>the reform of laws governing NGOs, media, and political parties</w:t>
      </w:r>
      <w:bookmarkEnd w:id="0"/>
      <w:r w:rsidRPr="00655579">
        <w:rPr>
          <w:lang w:eastAsia="en-GB"/>
        </w:rPr>
        <w:t>; demands that the EU ends its dependence on fossil-fuel rich authoritarian countries;</w:t>
      </w:r>
    </w:p>
    <w:p w:rsidR="00260B55" w:rsidRPr="00655579" w:rsidP="00260B55" w14:paraId="5BE49DC5" w14:textId="77777777">
      <w:pPr>
        <w:pStyle w:val="ListParagraph"/>
        <w:numPr>
          <w:ilvl w:val="0"/>
          <w:numId w:val="41"/>
        </w:numPr>
        <w:suppressAutoHyphens/>
        <w:spacing w:after="246" w:line="240" w:lineRule="atLeast"/>
        <w:ind w:left="567" w:hanging="567"/>
        <w:contextualSpacing w:val="0"/>
        <w:rPr>
          <w:lang w:eastAsia="en-GB"/>
        </w:rPr>
      </w:pPr>
      <w:r w:rsidRPr="00655579">
        <w:rPr>
          <w:lang w:eastAsia="en-GB"/>
        </w:rPr>
        <w:t>Calls on Member States to subject Azerbaijani extradition requests concerning government critics to rigorous scrutiny and to ensure that asylum and protection procedures take full account of the risks arising from transnational repression;</w:t>
      </w:r>
    </w:p>
    <w:p w:rsidR="00260B55" w:rsidRPr="00655579" w:rsidP="00260B55" w14:paraId="6C85651B" w14:textId="77777777">
      <w:pPr>
        <w:pStyle w:val="ListParagraph"/>
        <w:numPr>
          <w:ilvl w:val="0"/>
          <w:numId w:val="41"/>
        </w:numPr>
        <w:suppressAutoHyphens/>
        <w:spacing w:after="246" w:line="240" w:lineRule="atLeast"/>
        <w:ind w:left="567" w:hanging="567"/>
        <w:contextualSpacing w:val="0"/>
        <w:rPr>
          <w:lang w:eastAsia="en-GB"/>
        </w:rPr>
      </w:pPr>
      <w:r w:rsidRPr="00655579">
        <w:t>Instructs its President to forward this resolution to the Council, the Commission, the HR/VP, the governments and parliaments of the Member States, and the President and Parliament of Azerbaijan.</w:t>
      </w:r>
    </w:p>
    <w:p w:rsidR="00221528" w:rsidRPr="00C77374" w:rsidP="00C93A6D" w14:paraId="42E777D6" w14:textId="5484B524">
      <w:pPr>
        <w:pStyle w:val="NormalHanging12a"/>
      </w:pPr>
    </w:p>
    <w:p w:rsidR="001565D3" w:rsidRPr="00C77374" w:rsidP="001565D3" w14:paraId="44ED1978" w14:textId="77777777"/>
    <w:sectPr w:rsidSect="00E26D9C">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C77374" w:rsidP="0047637C" w14:paraId="7358CF5C" w14:textId="6CBFC125">
    <w:pPr>
      <w:pStyle w:val="EPFooter"/>
    </w:pPr>
    <w:r w:rsidRPr="00C77374">
      <w:t>PE</w:t>
    </w:r>
    <w:r w:rsidRPr="00C77374">
      <w:rPr>
        <w:rStyle w:val="HideTWBExt"/>
      </w:rPr>
      <w:t>&lt;NoPE&gt;</w:t>
    </w:r>
    <w:r w:rsidRPr="00260B55" w:rsidR="00260B55">
      <w:t>788.311</w:t>
    </w:r>
    <w:r w:rsidRPr="00C77374">
      <w:rPr>
        <w:rStyle w:val="HideTWBExt"/>
      </w:rPr>
      <w:t>&lt;/NoPE&gt;&lt;Version&gt;</w:t>
    </w:r>
    <w:r w:rsidRPr="00C77374" w:rsidR="00C77374">
      <w:t>v</w:t>
    </w:r>
    <w:r w:rsidRPr="00260B55" w:rsidR="00260B55">
      <w:t>01-00</w:t>
    </w:r>
    <w:r w:rsidRPr="00C77374">
      <w:rPr>
        <w:rStyle w:val="HideTWBExt"/>
      </w:rPr>
      <w:t>&lt;/Version&gt;</w:t>
    </w:r>
    <w:r w:rsidRPr="00C77374">
      <w:tab/>
    </w:r>
    <w:r w:rsidRPr="00C77374" w:rsidR="001565D3">
      <w:fldChar w:fldCharType="begin"/>
    </w:r>
    <w:r w:rsidRPr="00C77374" w:rsidR="001565D3">
      <w:instrText xml:space="preserve"> PAGE </w:instrText>
    </w:r>
    <w:r w:rsidRPr="00C77374" w:rsidR="001565D3">
      <w:fldChar w:fldCharType="separate"/>
    </w:r>
    <w:r w:rsidRPr="00C77374" w:rsidR="00E26D9C">
      <w:rPr>
        <w:noProof/>
      </w:rPr>
      <w:t>2</w:t>
    </w:r>
    <w:r w:rsidRPr="00C77374" w:rsidR="001565D3">
      <w:fldChar w:fldCharType="end"/>
    </w:r>
    <w:r w:rsidRPr="00C77374" w:rsidR="001565D3">
      <w:t>/</w:t>
    </w:r>
    <w:r>
      <w:fldChar w:fldCharType="begin"/>
    </w:r>
    <w:r>
      <w:instrText xml:space="preserve"> NUMPAGES </w:instrText>
    </w:r>
    <w:r>
      <w:fldChar w:fldCharType="separate"/>
    </w:r>
    <w:r w:rsidRPr="00C77374" w:rsidR="00E26D9C">
      <w:rPr>
        <w:noProof/>
      </w:rPr>
      <w:t>2</w:t>
    </w:r>
    <w:r w:rsidRPr="00C77374" w:rsidR="00E26D9C">
      <w:rPr>
        <w:noProof/>
      </w:rPr>
      <w:fldChar w:fldCharType="end"/>
    </w:r>
    <w:r w:rsidRPr="00C77374">
      <w:tab/>
    </w:r>
    <w:r w:rsidRPr="00C77374">
      <w:rPr>
        <w:rStyle w:val="HideTWBExt"/>
      </w:rPr>
      <w:t>&lt;PathFdR&gt;</w:t>
    </w:r>
    <w:r w:rsidRPr="00260B55" w:rsidR="00260B55">
      <w:t>RE\P10_</w:t>
    </w:r>
    <w:r w:rsidRPr="00260B55" w:rsidR="00260B55">
      <w:t>B(2026)0442_EN.docx</w:t>
    </w:r>
    <w:r w:rsidRPr="00C77374">
      <w:rPr>
        <w:rStyle w:val="HideTWBExt"/>
      </w:rPr>
      <w:t>&lt;/PathFdR&gt;</w:t>
    </w:r>
  </w:p>
  <w:p w:rsidR="00155F2B" w:rsidRPr="00C77374" w14:paraId="31180265" w14:textId="5DB789A1">
    <w:pPr>
      <w:pStyle w:val="EPFooter2"/>
    </w:pPr>
    <w:r>
      <w:fldChar w:fldCharType="begin"/>
    </w:r>
    <w:r>
      <w:instrText xml:space="preserve"> DOCPROPERTY "&lt;Extension&gt;" </w:instrText>
    </w:r>
    <w:r>
      <w:fldChar w:fldCharType="separate"/>
    </w:r>
    <w:r w:rsidR="00260B55">
      <w:t>EN</w:t>
    </w:r>
    <w:r w:rsidR="00260B5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C77374" w:rsidP="0047637C" w14:paraId="5DB9E014" w14:textId="5DBEB8D6">
    <w:pPr>
      <w:pStyle w:val="EPFooter"/>
    </w:pPr>
    <w:r w:rsidRPr="00C77374">
      <w:rPr>
        <w:rStyle w:val="HideTWBExt"/>
      </w:rPr>
      <w:t>&lt;PathFdR&gt;</w:t>
    </w:r>
    <w:r w:rsidRPr="00260B55" w:rsidR="00260B55">
      <w:t>RE\P10_</w:t>
    </w:r>
    <w:r w:rsidRPr="00260B55" w:rsidR="00260B55">
      <w:t>B(2026)0442_EN.docx</w:t>
    </w:r>
    <w:r w:rsidRPr="00C77374">
      <w:rPr>
        <w:rStyle w:val="HideTWBExt"/>
      </w:rPr>
      <w:t>&lt;/PathFdR&gt;</w:t>
    </w:r>
    <w:r w:rsidRPr="00C77374">
      <w:tab/>
    </w:r>
    <w:r w:rsidRPr="00C77374" w:rsidR="001565D3">
      <w:fldChar w:fldCharType="begin"/>
    </w:r>
    <w:r w:rsidRPr="00C77374" w:rsidR="001565D3">
      <w:instrText xml:space="preserve"> PAGE </w:instrText>
    </w:r>
    <w:r w:rsidRPr="00C77374" w:rsidR="001565D3">
      <w:fldChar w:fldCharType="separate"/>
    </w:r>
    <w:r w:rsidRPr="00C77374" w:rsidR="00E26D9C">
      <w:rPr>
        <w:noProof/>
      </w:rPr>
      <w:t>3</w:t>
    </w:r>
    <w:r w:rsidRPr="00C77374" w:rsidR="001565D3">
      <w:fldChar w:fldCharType="end"/>
    </w:r>
    <w:r w:rsidRPr="00C77374" w:rsidR="001565D3">
      <w:t>/</w:t>
    </w:r>
    <w:r>
      <w:fldChar w:fldCharType="begin"/>
    </w:r>
    <w:r>
      <w:instrText xml:space="preserve"> NUMPAGES </w:instrText>
    </w:r>
    <w:r>
      <w:fldChar w:fldCharType="separate"/>
    </w:r>
    <w:r w:rsidRPr="00C77374" w:rsidR="00E26D9C">
      <w:rPr>
        <w:noProof/>
      </w:rPr>
      <w:t>3</w:t>
    </w:r>
    <w:r w:rsidRPr="00C77374" w:rsidR="00E26D9C">
      <w:rPr>
        <w:noProof/>
      </w:rPr>
      <w:fldChar w:fldCharType="end"/>
    </w:r>
    <w:r w:rsidRPr="00C77374">
      <w:tab/>
      <w:t>PE</w:t>
    </w:r>
    <w:r w:rsidRPr="00C77374">
      <w:rPr>
        <w:rStyle w:val="HideTWBExt"/>
      </w:rPr>
      <w:t>&lt;NoPE&gt;</w:t>
    </w:r>
    <w:r w:rsidRPr="00260B55" w:rsidR="00260B55">
      <w:t>788.311</w:t>
    </w:r>
    <w:r w:rsidRPr="00C77374">
      <w:rPr>
        <w:rStyle w:val="HideTWBExt"/>
      </w:rPr>
      <w:t>&lt;/NoPE&gt;&lt;Version&gt;</w:t>
    </w:r>
    <w:r w:rsidRPr="00C77374" w:rsidR="00C77374">
      <w:t>v</w:t>
    </w:r>
    <w:r w:rsidRPr="00260B55" w:rsidR="00260B55">
      <w:t>01-00</w:t>
    </w:r>
    <w:r w:rsidRPr="00C77374">
      <w:rPr>
        <w:rStyle w:val="HideTWBExt"/>
      </w:rPr>
      <w:t>&lt;/Version&gt;</w:t>
    </w:r>
  </w:p>
  <w:p w:rsidR="00155F2B" w:rsidRPr="00C77374" w14:paraId="3ED64A57" w14:textId="7F70A0D1">
    <w:pPr>
      <w:pStyle w:val="EPFooter2"/>
    </w:pPr>
    <w:r w:rsidRPr="00C77374">
      <w:tab/>
    </w:r>
    <w:r w:rsidRPr="00C77374">
      <w:tab/>
    </w:r>
    <w:r>
      <w:fldChar w:fldCharType="begin"/>
    </w:r>
    <w:r>
      <w:instrText xml:space="preserve"> DOCPROPERTY "&lt;Extension&gt;" </w:instrText>
    </w:r>
    <w:r>
      <w:fldChar w:fldCharType="separate"/>
    </w:r>
    <w:r w:rsidR="00260B55">
      <w:t>EN</w:t>
    </w:r>
    <w:r w:rsidR="00260B5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C77374" w:rsidP="0047637C" w14:paraId="0B504124" w14:textId="2963E120">
    <w:pPr>
      <w:pStyle w:val="EPFooter"/>
    </w:pPr>
    <w:r w:rsidRPr="00C77374">
      <w:rPr>
        <w:rStyle w:val="HideTWBExt"/>
      </w:rPr>
      <w:t>&lt;PathFdR&gt;</w:t>
    </w:r>
    <w:r w:rsidRPr="00260B55" w:rsidR="00260B55">
      <w:t>RE\P10_</w:t>
    </w:r>
    <w:r w:rsidRPr="00260B55" w:rsidR="00260B55">
      <w:t>B(2026)0442_EN.docx</w:t>
    </w:r>
    <w:r w:rsidRPr="00C77374">
      <w:rPr>
        <w:rStyle w:val="HideTWBExt"/>
      </w:rPr>
      <w:t>&lt;/PathFdR&gt;</w:t>
    </w:r>
    <w:r w:rsidRPr="00C77374">
      <w:tab/>
    </w:r>
    <w:r w:rsidRPr="00C77374">
      <w:tab/>
      <w:t>PE</w:t>
    </w:r>
    <w:r w:rsidRPr="00C77374">
      <w:rPr>
        <w:rStyle w:val="HideTWBExt"/>
      </w:rPr>
      <w:t>&lt;NoPE&gt;</w:t>
    </w:r>
    <w:r w:rsidRPr="00260B55" w:rsidR="00260B55">
      <w:t>788.311</w:t>
    </w:r>
    <w:r w:rsidRPr="00C77374">
      <w:rPr>
        <w:rStyle w:val="HideTWBExt"/>
      </w:rPr>
      <w:t>&lt;/NoPE&gt;&lt;Version&gt;</w:t>
    </w:r>
    <w:r w:rsidRPr="00C77374" w:rsidR="00C77374">
      <w:t>v</w:t>
    </w:r>
    <w:r w:rsidRPr="00260B55" w:rsidR="00260B55">
      <w:t>01-00</w:t>
    </w:r>
    <w:r w:rsidRPr="00C77374">
      <w:rPr>
        <w:rStyle w:val="HideTWBExt"/>
      </w:rPr>
      <w:t>&lt;/Version&gt;</w:t>
    </w:r>
  </w:p>
  <w:p w:rsidR="00155F2B" w:rsidRPr="00C77374" w:rsidP="00155F2B" w14:paraId="20DFC90A" w14:textId="6FCC9DC4">
    <w:pPr>
      <w:pStyle w:val="EPFooter2"/>
      <w:tabs>
        <w:tab w:val="clear" w:pos="4535"/>
        <w:tab w:val="center" w:pos="4536"/>
      </w:tabs>
    </w:pPr>
    <w:r>
      <w:fldChar w:fldCharType="begin"/>
    </w:r>
    <w:r>
      <w:instrText xml:space="preserve"> DOCPROPERTY "&lt;Extension&gt;" </w:instrText>
    </w:r>
    <w:r>
      <w:fldChar w:fldCharType="separate"/>
    </w:r>
    <w:r w:rsidR="00260B55">
      <w:t>EN</w:t>
    </w:r>
    <w:r w:rsidR="00260B55">
      <w:fldChar w:fldCharType="end"/>
    </w:r>
    <w:r w:rsidRPr="00C77374">
      <w:tab/>
    </w:r>
    <w:r w:rsidR="00260B55">
      <w:rPr>
        <w:b w:val="0"/>
        <w:i/>
        <w:color w:val="C0C0C0"/>
        <w:sz w:val="22"/>
        <w:szCs w:val="22"/>
      </w:rPr>
      <w:t>United in diversity</w:t>
    </w:r>
    <w:r w:rsidRPr="00C77374">
      <w:tab/>
    </w:r>
    <w:r>
      <w:fldChar w:fldCharType="begin"/>
    </w:r>
    <w:r>
      <w:instrText xml:space="preserve"> DOCPROPERTY "&lt;Extension&gt;" </w:instrText>
    </w:r>
    <w:r>
      <w:fldChar w:fldCharType="separate"/>
    </w:r>
    <w:r w:rsidR="00260B55">
      <w:t>EN</w:t>
    </w:r>
    <w:r w:rsidR="00260B55">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0B55" w14:paraId="00CFDA9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0B55" w14:paraId="6EC5680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0B55" w14:paraId="2DC4CB7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1684094D"/>
    <w:multiLevelType w:val="hybridMultilevel"/>
    <w:tmpl w:val="0BECCBBA"/>
    <w:lvl w:ilvl="0">
      <w:start w:val="1"/>
      <w:numFmt w:val="decimal"/>
      <w:lvlText w:val="%1."/>
      <w:lvlJc w:val="left"/>
      <w:pPr>
        <w:ind w:left="720" w:hanging="360"/>
      </w:pPr>
      <w:rPr>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DA93574"/>
    <w:multiLevelType w:val="hybridMultilevel"/>
    <w:tmpl w:val="367CBD6E"/>
    <w:lvl w:ilvl="0">
      <w:start w:val="1"/>
      <w:numFmt w:val="upperLetter"/>
      <w:lvlText w:val="%1."/>
      <w:lvlJc w:val="left"/>
      <w:pPr>
        <w:ind w:left="710" w:hanging="360"/>
      </w:pPr>
      <w:rPr>
        <w:rFonts w:hint="default"/>
      </w:rPr>
    </w:lvl>
    <w:lvl w:ilvl="1">
      <w:start w:val="1"/>
      <w:numFmt w:val="lowerLetter"/>
      <w:lvlText w:val="%2."/>
      <w:lvlJc w:val="left"/>
      <w:pPr>
        <w:ind w:left="1648" w:hanging="360"/>
      </w:pPr>
    </w:lvl>
    <w:lvl w:ilvl="2" w:tentative="1">
      <w:start w:val="1"/>
      <w:numFmt w:val="lowerRoman"/>
      <w:lvlText w:val="%3."/>
      <w:lvlJc w:val="right"/>
      <w:pPr>
        <w:ind w:left="2368" w:hanging="180"/>
      </w:pPr>
    </w:lvl>
    <w:lvl w:ilvl="3" w:tentative="1">
      <w:start w:val="1"/>
      <w:numFmt w:val="decimal"/>
      <w:lvlText w:val="%4."/>
      <w:lvlJc w:val="left"/>
      <w:pPr>
        <w:ind w:left="3088" w:hanging="360"/>
      </w:pPr>
    </w:lvl>
    <w:lvl w:ilvl="4" w:tentative="1">
      <w:start w:val="1"/>
      <w:numFmt w:val="lowerLetter"/>
      <w:lvlText w:val="%5."/>
      <w:lvlJc w:val="left"/>
      <w:pPr>
        <w:ind w:left="3808" w:hanging="360"/>
      </w:pPr>
    </w:lvl>
    <w:lvl w:ilvl="5" w:tentative="1">
      <w:start w:val="1"/>
      <w:numFmt w:val="lowerRoman"/>
      <w:lvlText w:val="%6."/>
      <w:lvlJc w:val="right"/>
      <w:pPr>
        <w:ind w:left="4528" w:hanging="180"/>
      </w:pPr>
    </w:lvl>
    <w:lvl w:ilvl="6" w:tentative="1">
      <w:start w:val="1"/>
      <w:numFmt w:val="decimal"/>
      <w:lvlText w:val="%7."/>
      <w:lvlJc w:val="left"/>
      <w:pPr>
        <w:ind w:left="5248" w:hanging="360"/>
      </w:pPr>
    </w:lvl>
    <w:lvl w:ilvl="7" w:tentative="1">
      <w:start w:val="1"/>
      <w:numFmt w:val="lowerLetter"/>
      <w:lvlText w:val="%8."/>
      <w:lvlJc w:val="left"/>
      <w:pPr>
        <w:ind w:left="5968" w:hanging="360"/>
      </w:pPr>
    </w:lvl>
    <w:lvl w:ilvl="8" w:tentative="1">
      <w:start w:val="1"/>
      <w:numFmt w:val="lowerRoman"/>
      <w:lvlText w:val="%9."/>
      <w:lvlJc w:val="right"/>
      <w:pPr>
        <w:ind w:left="6688"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374"/>
    <w:rsid w:val="00073ED6"/>
    <w:rsid w:val="000813F9"/>
    <w:rsid w:val="00113DF6"/>
    <w:rsid w:val="0012167F"/>
    <w:rsid w:val="00155F2B"/>
    <w:rsid w:val="001565D3"/>
    <w:rsid w:val="00163C89"/>
    <w:rsid w:val="00171176"/>
    <w:rsid w:val="00182C85"/>
    <w:rsid w:val="001B02B2"/>
    <w:rsid w:val="001E562A"/>
    <w:rsid w:val="00221528"/>
    <w:rsid w:val="0022720C"/>
    <w:rsid w:val="0023563C"/>
    <w:rsid w:val="00260B55"/>
    <w:rsid w:val="0029017B"/>
    <w:rsid w:val="00296981"/>
    <w:rsid w:val="002B315F"/>
    <w:rsid w:val="002D1CE1"/>
    <w:rsid w:val="002D5F2C"/>
    <w:rsid w:val="002D7795"/>
    <w:rsid w:val="0030129C"/>
    <w:rsid w:val="003520DB"/>
    <w:rsid w:val="0037154C"/>
    <w:rsid w:val="003B3BC2"/>
    <w:rsid w:val="003C01F7"/>
    <w:rsid w:val="003E1BD5"/>
    <w:rsid w:val="003E6238"/>
    <w:rsid w:val="00424DC4"/>
    <w:rsid w:val="00431748"/>
    <w:rsid w:val="0047637C"/>
    <w:rsid w:val="0048106D"/>
    <w:rsid w:val="004D1817"/>
    <w:rsid w:val="00522C8A"/>
    <w:rsid w:val="00545512"/>
    <w:rsid w:val="005B6C1A"/>
    <w:rsid w:val="00611E4E"/>
    <w:rsid w:val="00655579"/>
    <w:rsid w:val="006B4303"/>
    <w:rsid w:val="007457C0"/>
    <w:rsid w:val="00844F3E"/>
    <w:rsid w:val="008713AB"/>
    <w:rsid w:val="008F0D32"/>
    <w:rsid w:val="009E42B0"/>
    <w:rsid w:val="00A24296"/>
    <w:rsid w:val="00A95E1B"/>
    <w:rsid w:val="00B068D6"/>
    <w:rsid w:val="00C73D27"/>
    <w:rsid w:val="00C77374"/>
    <w:rsid w:val="00C85D0F"/>
    <w:rsid w:val="00C93A6D"/>
    <w:rsid w:val="00D457FD"/>
    <w:rsid w:val="00D773BD"/>
    <w:rsid w:val="00D94703"/>
    <w:rsid w:val="00DA585C"/>
    <w:rsid w:val="00DE2325"/>
    <w:rsid w:val="00DF6C84"/>
    <w:rsid w:val="00E02ECA"/>
    <w:rsid w:val="00E26D9C"/>
    <w:rsid w:val="00E26F84"/>
    <w:rsid w:val="00F25D9E"/>
    <w:rsid w:val="00FF3F3E"/>
  </w:rsids>
  <w:docVars>
    <w:docVar w:name="CopyToNetwork" w:val="-1"/>
    <w:docVar w:name="DOCDT" w:val="06/10/2026"/>
    <w:docVar w:name="LastEditedSection" w:val=" 1"/>
    <w:docVar w:name="MVar" w:val="0"/>
    <w:docVar w:name="ONBEHALFMNU" w:val=" 1"/>
    <w:docVar w:name="strDocTypeID" w:val="RE_UrgentDebatePG"/>
    <w:docVar w:name="strSubDir" w:val="P10"/>
    <w:docVar w:name="TITLEMNU" w:val=" 1"/>
    <w:docVar w:name="TXTLANGUE" w:val="EN"/>
    <w:docVar w:name="TXTLANGUEMIN" w:val="en"/>
    <w:docVar w:name="TXTNRB" w:val="0442/2026"/>
    <w:docVar w:name="TXTNRPE" w:val="788.311"/>
    <w:docVar w:name="TXTNRRSP" w:val="2026/2914"/>
    <w:docVar w:name="TXTPEorAP" w:val="PE"/>
    <w:docVar w:name="TXTROUTE" w:val="RE\P10_B(2026)0442_EN.docx"/>
    <w:docVar w:name="TXTTITLE" w:val="the cases of Ali Karimli, Anar Mammadli and other political prisoners in Azerbaijan&#13;"/>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F7A20AA9-B2A9-4295-8808-1C4271ACF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 w:type="paragraph" w:customStyle="1" w:styleId="Cover12">
    <w:name w:val="Cover12"/>
    <w:basedOn w:val="Normal"/>
    <w:rsid w:val="00260B55"/>
    <w:pPr>
      <w:widowControl/>
      <w:spacing w:after="240"/>
      <w:ind w:left="1418" w:hanging="720"/>
    </w:pPr>
  </w:style>
  <w:style w:type="paragraph" w:styleId="ListParagraph">
    <w:name w:val="List Paragraph"/>
    <w:basedOn w:val="Normal"/>
    <w:uiPriority w:val="34"/>
    <w:qFormat/>
    <w:rsid w:val="00260B55"/>
    <w:pPr>
      <w:widowControl/>
      <w:ind w:left="720"/>
      <w:contextualSpacing/>
      <w:jc w:val="both"/>
    </w:pPr>
    <w:rPr>
      <w:rFonts w:eastAsiaTheme="minorHAnsi"/>
      <w:szCs w:val="24"/>
      <w:lang w:eastAsia="en-US"/>
    </w:rPr>
  </w:style>
  <w:style w:type="paragraph" w:customStyle="1" w:styleId="Normal12Hanging">
    <w:name w:val="Normal12Hanging"/>
    <w:basedOn w:val="Normal"/>
    <w:link w:val="Normal12HangingChar"/>
    <w:rsid w:val="00260B55"/>
    <w:pPr>
      <w:widowControl/>
      <w:spacing w:after="240"/>
      <w:ind w:left="567" w:hanging="567"/>
    </w:pPr>
  </w:style>
  <w:style w:type="character" w:customStyle="1" w:styleId="Normal12HangingChar">
    <w:name w:val="Normal12Hanging Char"/>
    <w:link w:val="Normal12Hanging"/>
    <w:rsid w:val="00260B5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649</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creator>European Parliament</dc:creator>
  <cp:lastModifiedBy>European Parliament</cp:lastModifiedBy>
  <cp:revision>2</cp:revision>
  <cp:lastPrinted>2004-11-19T16:07:00Z</cp:lastPrinted>
  <dcterms:created xsi:type="dcterms:W3CDTF">2026-10-06T09:23:00Z</dcterms:created>
  <dcterms:modified xsi:type="dcterms:W3CDTF">2026-10-06T09:23:00Z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P10_B(2026)0442_</vt:lpwstr>
  </property>
  <property fmtid="{D5CDD505-2E9C-101B-9397-08002B2CF9AE}" pid="4" name="&lt;Model&gt;">
    <vt:lpwstr>RE_UrgentDebatePG</vt:lpwstr>
  </property>
  <property fmtid="{D5CDD505-2E9C-101B-9397-08002B2CF9AE}" pid="5" name="&lt;ModelCod&gt;">
    <vt:lpwstr>\\eiciLUXpr1\pdocep$\DocEP\DOCS\General\RE\RERD\RE_UrgentDebatePG.dotx(11/04/2022 09:43:07)</vt:lpwstr>
  </property>
  <property fmtid="{D5CDD505-2E9C-101B-9397-08002B2CF9AE}" pid="6" name="&lt;ModelTra&gt;">
    <vt:lpwstr>\\eiciLUXpr1\pdocep$\DocEP\TRANSFIL\EN\RE_UrgentDebatePG.EN(14/07/2025 14:34:06)</vt:lpwstr>
  </property>
  <property fmtid="{D5CDD505-2E9C-101B-9397-08002B2CF9AE}" pid="7" name="&lt;Type&gt;">
    <vt:lpwstr>RE</vt:lpwstr>
  </property>
  <property fmtid="{D5CDD505-2E9C-101B-9397-08002B2CF9AE}" pid="8" name="Created with">
    <vt:lpwstr>9.18.0 Build [20240801]</vt:lpwstr>
  </property>
  <property fmtid="{D5CDD505-2E9C-101B-9397-08002B2CF9AE}" pid="9" name="FooterPath">
    <vt:lpwstr>RE\P10_B(2026)0442_EN.docx</vt:lpwstr>
  </property>
  <property fmtid="{D5CDD505-2E9C-101B-9397-08002B2CF9AE}" pid="10" name="LastEdited with">
    <vt:lpwstr>9.18.0 Build [20240801]</vt:lpwstr>
  </property>
  <property fmtid="{D5CDD505-2E9C-101B-9397-08002B2CF9AE}" pid="11" name="PE number">
    <vt:lpwstr>788.311</vt:lpwstr>
  </property>
  <property fmtid="{D5CDD505-2E9C-101B-9397-08002B2CF9AE}" pid="12" name="RegistreCheck">
    <vt:lpwstr>OK</vt:lpwstr>
  </property>
</Properties>
</file>