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19.12 -->
  <w:body>
    <w:tbl>
      <w:tblPr>
        <w:tblW w:w="9072" w:type="dxa"/>
        <w:tblCellMar>
          <w:left w:w="0" w:type="dxa"/>
          <w:right w:w="0" w:type="dxa"/>
        </w:tblCellMar>
        <w:tblLook w:val="01E0"/>
      </w:tblPr>
      <w:tblGrid>
        <w:gridCol w:w="6804"/>
        <w:gridCol w:w="2268"/>
      </w:tblGrid>
      <w:tr w14:paraId="14DBF7CB" w14:textId="77777777" w:rsidTr="00C85D0F">
        <w:tblPrEx>
          <w:tblW w:w="9072" w:type="dxa"/>
          <w:tblCellMar>
            <w:left w:w="0" w:type="dxa"/>
            <w:right w:w="0" w:type="dxa"/>
          </w:tblCellMar>
          <w:tblLook w:val="01E0"/>
        </w:tblPrEx>
        <w:trPr>
          <w:trHeight w:hRule="exact" w:val="1418"/>
        </w:trPr>
        <w:tc>
          <w:tcPr>
            <w:tcW w:w="6804" w:type="dxa"/>
            <w:vAlign w:val="center"/>
          </w:tcPr>
          <w:p w:rsidR="008F5EFB" w:rsidRPr="00471823" w:rsidP="00C85D0F" w14:paraId="74D5DC4C" w14:textId="53666307">
            <w:pPr>
              <w:pStyle w:val="EPName"/>
            </w:pPr>
            <w:r w:rsidRPr="00471823">
              <w:t>Európsky parlament</w:t>
            </w:r>
          </w:p>
          <w:p w:rsidR="008F5EFB" w:rsidRPr="00471823" w:rsidP="00C85D0F" w14:paraId="4B715355" w14:textId="5489657D">
            <w:pPr>
              <w:pStyle w:val="EPTerm"/>
            </w:pPr>
            <w:r w:rsidRPr="00471823">
              <w:t>2024-2029</w:t>
            </w:r>
          </w:p>
        </w:tc>
        <w:tc>
          <w:tcPr>
            <w:tcW w:w="2268" w:type="dxa"/>
          </w:tcPr>
          <w:p w:rsidR="008F5EFB" w:rsidRPr="00471823" w:rsidP="00C85D0F" w14:paraId="5596CA4E" w14:textId="77777777">
            <w:pPr>
              <w:pStyle w:val="EPLogo"/>
            </w:pPr>
            <w:r w:rsidRPr="00471823">
              <w:rPr>
                <w:noProof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33064806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4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E53167" w:rsidRPr="00471823" w:rsidP="00E53167" w14:paraId="55BDD7F9" w14:textId="77777777">
      <w:pPr>
        <w:pStyle w:val="LineTop"/>
      </w:pPr>
    </w:p>
    <w:p w:rsidR="00E53167" w:rsidRPr="00471823" w:rsidP="00E53167" w14:paraId="6F135242" w14:textId="10CAC73E">
      <w:pPr>
        <w:pStyle w:val="EPBody"/>
      </w:pPr>
      <w:r w:rsidRPr="00471823">
        <w:t>Dokument na rokovanie</w:t>
      </w:r>
    </w:p>
    <w:p w:rsidR="00094DDA" w:rsidRPr="00471823" w:rsidP="00094DDA" w14:paraId="53478FE8" w14:textId="77777777">
      <w:pPr>
        <w:pStyle w:val="LineBottom"/>
      </w:pPr>
    </w:p>
    <w:p w:rsidR="00094DDA" w:rsidRPr="00471823" w:rsidP="00094DDA" w14:paraId="7B68A0B4" w14:textId="67ECBEFC">
      <w:pPr>
        <w:pStyle w:val="CoverReference"/>
      </w:pPr>
      <w:r w:rsidRPr="00471823">
        <w:rPr>
          <w:rStyle w:val="HideTWBExt"/>
          <w:b w:val="0"/>
        </w:rPr>
        <w:t>&lt;NoDocSe&gt;</w:t>
      </w:r>
      <w:r w:rsidRPr="00471823">
        <w:t>B10</w:t>
      </w:r>
      <w:r w:rsidRPr="00471823">
        <w:noBreakHyphen/>
        <w:t>0446/2026</w:t>
      </w:r>
      <w:r w:rsidRPr="00471823">
        <w:rPr>
          <w:rStyle w:val="HideTWBExt"/>
          <w:b w:val="0"/>
        </w:rPr>
        <w:t>&lt;/</w:t>
      </w:r>
      <w:r w:rsidRPr="00471823">
        <w:rPr>
          <w:rStyle w:val="HideTWBExt"/>
          <w:b w:val="0"/>
        </w:rPr>
        <w:t>NoDocSe</w:t>
      </w:r>
      <w:r w:rsidRPr="00471823">
        <w:rPr>
          <w:rStyle w:val="HideTWBExt"/>
          <w:b w:val="0"/>
        </w:rPr>
        <w:t>&gt;</w:t>
      </w:r>
    </w:p>
    <w:p w:rsidR="00094DDA" w:rsidRPr="00471823" w:rsidP="00094DDA" w14:paraId="77EA0908" w14:textId="2CB17BA4">
      <w:pPr>
        <w:pStyle w:val="CoverDate"/>
      </w:pPr>
      <w:r w:rsidRPr="00471823">
        <w:rPr>
          <w:rStyle w:val="HideTWBExt"/>
        </w:rPr>
        <w:t>&lt;Date&gt;</w:t>
      </w:r>
      <w:r w:rsidRPr="00471823">
        <w:rPr>
          <w:rStyle w:val="HideTWBInt"/>
        </w:rPr>
        <w:t>{05/10/2026}</w:t>
      </w:r>
      <w:r w:rsidRPr="00471823">
        <w:t>5.10.2026</w:t>
      </w:r>
      <w:r w:rsidRPr="00471823">
        <w:rPr>
          <w:rStyle w:val="HideTWBExt"/>
        </w:rPr>
        <w:t>&lt;/</w:t>
      </w:r>
      <w:r w:rsidRPr="00471823">
        <w:rPr>
          <w:rStyle w:val="HideTWBExt"/>
        </w:rPr>
        <w:t>Date</w:t>
      </w:r>
      <w:r w:rsidRPr="00471823">
        <w:rPr>
          <w:rStyle w:val="HideTWBExt"/>
        </w:rPr>
        <w:t>&gt;</w:t>
      </w:r>
    </w:p>
    <w:p w:rsidR="00814BC6" w:rsidRPr="00471823" w14:paraId="68696A9F" w14:textId="13CB0C12">
      <w:pPr>
        <w:pStyle w:val="CoverDocType24a"/>
      </w:pPr>
      <w:r w:rsidRPr="00471823">
        <w:rPr>
          <w:rStyle w:val="HideTWBExt"/>
          <w:b w:val="0"/>
        </w:rPr>
        <w:t>&lt;TitreType&gt;</w:t>
      </w:r>
      <w:r w:rsidRPr="00471823">
        <w:t>NÁVRH UZNESENIA</w:t>
      </w:r>
      <w:r w:rsidRPr="00471823">
        <w:rPr>
          <w:rStyle w:val="HideTWBExt"/>
          <w:b w:val="0"/>
        </w:rPr>
        <w:t>&lt;/</w:t>
      </w:r>
      <w:r w:rsidRPr="00471823">
        <w:rPr>
          <w:rStyle w:val="HideTWBExt"/>
          <w:b w:val="0"/>
        </w:rPr>
        <w:t>TitreType</w:t>
      </w:r>
      <w:r w:rsidRPr="00471823">
        <w:rPr>
          <w:rStyle w:val="HideTWBExt"/>
          <w:b w:val="0"/>
        </w:rPr>
        <w:t>&gt;</w:t>
      </w:r>
    </w:p>
    <w:p w:rsidR="00814BC6" w:rsidRPr="00471823" w14:paraId="2F2C3333" w14:textId="201A593B">
      <w:pPr>
        <w:pStyle w:val="CoverNormal12a"/>
      </w:pPr>
      <w:r w:rsidRPr="00471823">
        <w:rPr>
          <w:rStyle w:val="HideTWBExt"/>
        </w:rPr>
        <w:t>&lt;TitreSuite&gt;</w:t>
      </w:r>
      <w:r w:rsidRPr="00471823">
        <w:t>predložený na základe vyhlásenia podpredsedu Komisie/vysokého predstaviteľa Únie pre zahraničné veci a bezpečnostnú politiku</w:t>
      </w:r>
      <w:r w:rsidRPr="00471823">
        <w:rPr>
          <w:rStyle w:val="HideTWBExt"/>
        </w:rPr>
        <w:t>&lt;/</w:t>
      </w:r>
      <w:r w:rsidRPr="00471823">
        <w:rPr>
          <w:rStyle w:val="HideTWBExt"/>
        </w:rPr>
        <w:t>TitreSuite</w:t>
      </w:r>
      <w:r w:rsidRPr="00471823">
        <w:rPr>
          <w:rStyle w:val="HideTWBExt"/>
        </w:rPr>
        <w:t>&gt;</w:t>
      </w:r>
    </w:p>
    <w:p w:rsidR="00814BC6" w:rsidRPr="00471823" w14:paraId="4DB4F269" w14:textId="72788893">
      <w:pPr>
        <w:pStyle w:val="CoverNormal12a"/>
      </w:pPr>
      <w:r w:rsidRPr="00471823">
        <w:rPr>
          <w:rStyle w:val="HideTWBExt"/>
        </w:rPr>
        <w:t>&lt;TitreRecueil&gt;</w:t>
      </w:r>
      <w:r w:rsidRPr="00471823">
        <w:t>v súlade s článkom 136 ods. 2 rokovacieho poriadku</w:t>
      </w:r>
      <w:r w:rsidRPr="00471823">
        <w:rPr>
          <w:rStyle w:val="HideTWBExt"/>
        </w:rPr>
        <w:t>&lt;/</w:t>
      </w:r>
      <w:r w:rsidRPr="00471823">
        <w:rPr>
          <w:rStyle w:val="HideTWBExt"/>
        </w:rPr>
        <w:t>TitreRecueil</w:t>
      </w:r>
      <w:r w:rsidRPr="00471823">
        <w:rPr>
          <w:rStyle w:val="HideTWBExt"/>
        </w:rPr>
        <w:t>&gt;</w:t>
      </w:r>
    </w:p>
    <w:p w:rsidR="00C23264" w:rsidRPr="00471823" w:rsidP="00C23264" w14:paraId="31C4798A" w14:textId="49440794">
      <w:pPr>
        <w:pStyle w:val="CoverNormal"/>
      </w:pPr>
      <w:r w:rsidRPr="00471823">
        <w:rPr>
          <w:rStyle w:val="HideTWBExt"/>
        </w:rPr>
        <w:t>&lt;Titre&gt;</w:t>
      </w:r>
      <w:r w:rsidRPr="00471823">
        <w:t>o nedemokratických voľbách do ruskej Štátnej dumy v roku 2026 a ich dôsledkoch pre občiansku spoločnosť</w:t>
      </w:r>
      <w:r w:rsidRPr="00471823">
        <w:rPr>
          <w:rStyle w:val="HideTWBExt"/>
        </w:rPr>
        <w:t>&lt;/</w:t>
      </w:r>
      <w:r w:rsidRPr="00471823">
        <w:rPr>
          <w:rStyle w:val="HideTWBExt"/>
        </w:rPr>
        <w:t>Titre</w:t>
      </w:r>
      <w:r w:rsidRPr="00471823">
        <w:rPr>
          <w:rStyle w:val="HideTWBExt"/>
        </w:rPr>
        <w:t>&gt;</w:t>
      </w:r>
    </w:p>
    <w:p w:rsidR="00C23264" w:rsidRPr="00471823" w:rsidP="00C23264" w14:paraId="59778357" w14:textId="69879BB4">
      <w:pPr>
        <w:pStyle w:val="CoverNormal24a"/>
      </w:pPr>
      <w:r w:rsidRPr="00471823">
        <w:rPr>
          <w:rStyle w:val="HideTWBExt"/>
        </w:rPr>
        <w:t>&lt;DocRef&gt;</w:t>
      </w:r>
      <w:r w:rsidRPr="00471823">
        <w:t>(2026/2907(RSP))</w:t>
      </w:r>
      <w:r w:rsidRPr="00471823">
        <w:rPr>
          <w:rStyle w:val="HideTWBExt"/>
        </w:rPr>
        <w:t>&lt;/</w:t>
      </w:r>
      <w:r w:rsidRPr="00471823">
        <w:rPr>
          <w:rStyle w:val="HideTWBExt"/>
        </w:rPr>
        <w:t>DocRef</w:t>
      </w:r>
      <w:r w:rsidRPr="00471823">
        <w:rPr>
          <w:rStyle w:val="HideTWBExt"/>
        </w:rPr>
        <w:t>&gt;</w:t>
      </w:r>
    </w:p>
    <w:p w:rsidR="002574AA" w:rsidRPr="00471823" w:rsidP="002574AA" w14:paraId="58F68323" w14:textId="0D258DCE">
      <w:pPr>
        <w:pStyle w:val="CoverBold"/>
      </w:pPr>
      <w:r w:rsidRPr="00471823">
        <w:rPr>
          <w:rStyle w:val="HideTWBExt"/>
          <w:b w:val="0"/>
        </w:rPr>
        <w:t>&lt;RepeatBlock-By&gt;&lt;Depute&gt;</w:t>
      </w:r>
      <w:r w:rsidRPr="00471823">
        <w:t xml:space="preserve">Michael </w:t>
      </w:r>
      <w:r w:rsidRPr="00471823">
        <w:t>Gahler</w:t>
      </w:r>
      <w:r w:rsidRPr="00471823">
        <w:t xml:space="preserve">, Sandra </w:t>
      </w:r>
      <w:r w:rsidRPr="00471823">
        <w:t>Kalniete</w:t>
      </w:r>
      <w:r w:rsidRPr="00471823">
        <w:t xml:space="preserve">, </w:t>
      </w:r>
      <w:r w:rsidRPr="00471823">
        <w:t>Andrzej</w:t>
      </w:r>
      <w:r w:rsidRPr="00471823">
        <w:t xml:space="preserve"> </w:t>
      </w:r>
      <w:r w:rsidRPr="00471823">
        <w:t>Halicki</w:t>
      </w:r>
      <w:r w:rsidRPr="00471823">
        <w:t xml:space="preserve">, David </w:t>
      </w:r>
      <w:r w:rsidRPr="00471823">
        <w:t>McAllister</w:t>
      </w:r>
      <w:r w:rsidRPr="00471823">
        <w:t xml:space="preserve">, </w:t>
      </w:r>
      <w:r w:rsidRPr="00471823">
        <w:t>Sebastião</w:t>
      </w:r>
      <w:r w:rsidRPr="00471823">
        <w:t xml:space="preserve"> </w:t>
      </w:r>
      <w:r w:rsidRPr="00471823">
        <w:t>Bugalho</w:t>
      </w:r>
      <w:r w:rsidRPr="00471823">
        <w:t xml:space="preserve">, Rasa </w:t>
      </w:r>
      <w:r w:rsidRPr="00471823">
        <w:t>Juknevičienė</w:t>
      </w:r>
      <w:r w:rsidRPr="00471823">
        <w:t xml:space="preserve">, </w:t>
      </w:r>
      <w:r w:rsidRPr="00471823">
        <w:t>Isabel</w:t>
      </w:r>
      <w:r w:rsidRPr="00471823">
        <w:t xml:space="preserve"> </w:t>
      </w:r>
      <w:r w:rsidRPr="00471823">
        <w:t>Wiseler</w:t>
      </w:r>
      <w:r w:rsidRPr="00471823">
        <w:noBreakHyphen/>
        <w:t xml:space="preserve">Lima, </w:t>
      </w:r>
      <w:r w:rsidRPr="00471823">
        <w:t>Inese</w:t>
      </w:r>
      <w:r w:rsidRPr="00471823">
        <w:t xml:space="preserve"> </w:t>
      </w:r>
      <w:r w:rsidRPr="00471823">
        <w:t>Vaidere</w:t>
      </w:r>
      <w:r w:rsidRPr="00471823">
        <w:rPr>
          <w:rStyle w:val="HideTWBExt"/>
          <w:b w:val="0"/>
        </w:rPr>
        <w:t>&lt;/Depute&gt;</w:t>
      </w:r>
    </w:p>
    <w:p w:rsidR="002574AA" w:rsidRPr="00471823" w:rsidP="002574AA" w14:paraId="0411AA17" w14:textId="5C65791A">
      <w:pPr>
        <w:pStyle w:val="CoverNormal"/>
      </w:pPr>
      <w:r w:rsidRPr="00471823">
        <w:rPr>
          <w:rStyle w:val="HideTWBExt"/>
        </w:rPr>
        <w:t>&lt;Commission&gt;</w:t>
      </w:r>
      <w:r w:rsidRPr="00471823">
        <w:rPr>
          <w:rStyle w:val="HideTWBInt"/>
        </w:rPr>
        <w:t>{PPE}</w:t>
      </w:r>
      <w:r w:rsidRPr="00471823">
        <w:t>v mene skupiny PPE</w:t>
      </w:r>
      <w:r w:rsidRPr="00471823">
        <w:rPr>
          <w:rStyle w:val="HideTWBExt"/>
        </w:rPr>
        <w:t>&lt;/</w:t>
      </w:r>
      <w:r w:rsidRPr="00471823">
        <w:rPr>
          <w:rStyle w:val="HideTWBExt"/>
        </w:rPr>
        <w:t>Commission</w:t>
      </w:r>
      <w:r w:rsidRPr="00471823">
        <w:rPr>
          <w:rStyle w:val="HideTWBExt"/>
        </w:rPr>
        <w:t>&gt;</w:t>
      </w:r>
    </w:p>
    <w:p w:rsidR="002574AA" w:rsidRPr="00471823" w:rsidP="002574AA" w14:paraId="34B6D5B3" w14:textId="6EADF481">
      <w:pPr>
        <w:pStyle w:val="CoverNormal"/>
      </w:pPr>
      <w:r w:rsidRPr="00471823">
        <w:rPr>
          <w:rStyle w:val="HideTWBExt"/>
        </w:rPr>
        <w:t>&lt;/RepeatBlock-By&gt;</w:t>
      </w:r>
    </w:p>
    <w:p w:rsidR="00814BC6" w:rsidRPr="00471823" w14:paraId="65310758" w14:textId="3B6DDA96">
      <w:pPr>
        <w:pStyle w:val="NormalBold12a"/>
      </w:pPr>
      <w:r w:rsidRPr="00471823">
        <w:br w:type="page"/>
      </w:r>
      <w:r w:rsidRPr="00471823">
        <w:t>B10</w:t>
      </w:r>
      <w:r w:rsidRPr="00471823">
        <w:noBreakHyphen/>
        <w:t>0446/2026</w:t>
      </w:r>
    </w:p>
    <w:p w:rsidR="00C23264" w:rsidRPr="00471823" w:rsidP="00C23264" w14:paraId="24F3BA93" w14:textId="1FF832F4">
      <w:pPr>
        <w:pStyle w:val="NormalBold"/>
      </w:pPr>
      <w:r w:rsidRPr="00471823">
        <w:t>Uznesenie Európskeho parlamentu o nedemokratických voľbách do ruskej Štátnej dumy v roku 2026 a ich dôsledkoch pre občiansku spoločnosť</w:t>
      </w:r>
    </w:p>
    <w:p w:rsidR="00C23264" w:rsidRPr="00471823" w:rsidP="00DF7943" w14:paraId="354959B1" w14:textId="0500B093">
      <w:pPr>
        <w:pStyle w:val="NormalBold"/>
      </w:pPr>
      <w:r w:rsidRPr="00471823">
        <w:t>(2026/2907(RSP))</w:t>
      </w:r>
    </w:p>
    <w:p w:rsidR="00814BC6" w:rsidRPr="00471823" w14:paraId="5A02AF4B" w14:textId="07CD408A">
      <w:pPr>
        <w:pStyle w:val="EPComma"/>
      </w:pPr>
      <w:r w:rsidRPr="00471823">
        <w:rPr>
          <w:i/>
        </w:rPr>
        <w:t>Európsky parlament,</w:t>
      </w:r>
    </w:p>
    <w:p w:rsidR="00992D91" w:rsidRPr="00471823" w:rsidP="00992D91" w14:paraId="24F9FE82" w14:textId="77777777">
      <w:pPr>
        <w:pStyle w:val="NormalHanging12a"/>
      </w:pPr>
      <w:r w:rsidRPr="00471823">
        <w:rPr>
          <w:snapToGrid w:val="0"/>
        </w:rPr>
        <w:t>–</w:t>
      </w:r>
      <w:r w:rsidRPr="00471823">
        <w:rPr>
          <w:snapToGrid w:val="0"/>
        </w:rPr>
        <w:tab/>
      </w:r>
      <w:r w:rsidRPr="00471823">
        <w:t>so zreteľom na svoje predchádzajúce uznesenia o Rusku,</w:t>
      </w:r>
    </w:p>
    <w:p w:rsidR="00992D91" w:rsidRPr="00471823" w:rsidP="00992D91" w14:paraId="25A58D95" w14:textId="2CE82463">
      <w:pPr>
        <w:pStyle w:val="NormalHanging12a"/>
      </w:pPr>
      <w:r w:rsidRPr="00471823">
        <w:rPr>
          <w:snapToGrid w:val="0"/>
        </w:rPr>
        <w:t>–</w:t>
      </w:r>
      <w:r w:rsidRPr="00471823">
        <w:rPr>
          <w:snapToGrid w:val="0"/>
        </w:rPr>
        <w:tab/>
      </w:r>
      <w:r w:rsidRPr="00471823">
        <w:t>so zreteľom na vyhlásenie vysokej predstaviteľky Únie pre zahraničné veci a bezpečnostnú politiku v mene EÚ z 21. septembra 2026 o voľbách do ruskej Štátnej dumy, ktoré sa konali 18. až 20. septembra 2026, a ich neuplatniteľnosti na ukrajinskom území,</w:t>
      </w:r>
    </w:p>
    <w:p w:rsidR="00992D91" w:rsidRPr="00471823" w:rsidP="00992D91" w14:paraId="5B354420" w14:textId="16BC5212">
      <w:pPr>
        <w:pStyle w:val="NormalHanging12a"/>
      </w:pPr>
      <w:r w:rsidRPr="00471823">
        <w:rPr>
          <w:snapToGrid w:val="0"/>
        </w:rPr>
        <w:t>–</w:t>
      </w:r>
      <w:r w:rsidRPr="00471823">
        <w:rPr>
          <w:snapToGrid w:val="0"/>
        </w:rPr>
        <w:tab/>
      </w:r>
      <w:r w:rsidRPr="00471823">
        <w:t xml:space="preserve">so zreteľom na vyhlásenie poslancov Európskeho parlamentu </w:t>
      </w:r>
      <w:r w:rsidRPr="00471823">
        <w:t>Villeho</w:t>
      </w:r>
      <w:r w:rsidRPr="00471823">
        <w:t xml:space="preserve"> </w:t>
      </w:r>
      <w:r w:rsidRPr="00471823">
        <w:t>Niinistöa</w:t>
      </w:r>
      <w:r w:rsidRPr="00471823">
        <w:t xml:space="preserve">, Sandry </w:t>
      </w:r>
      <w:r w:rsidRPr="00471823">
        <w:t>Kalnieteovej</w:t>
      </w:r>
      <w:r w:rsidRPr="00471823">
        <w:t xml:space="preserve">, </w:t>
      </w:r>
      <w:r w:rsidRPr="00471823">
        <w:t>Pekku</w:t>
      </w:r>
      <w:r w:rsidRPr="00471823">
        <w:t xml:space="preserve"> </w:t>
      </w:r>
      <w:r w:rsidRPr="00471823">
        <w:t>Toveriho</w:t>
      </w:r>
      <w:r w:rsidRPr="00471823">
        <w:t xml:space="preserve"> a </w:t>
      </w:r>
      <w:r w:rsidRPr="00471823">
        <w:t>Sergeya</w:t>
      </w:r>
      <w:r w:rsidRPr="00471823">
        <w:t xml:space="preserve"> </w:t>
      </w:r>
      <w:r w:rsidRPr="00471823">
        <w:t>Lagodinského</w:t>
      </w:r>
      <w:r w:rsidRPr="00471823">
        <w:t xml:space="preserve"> z 21. septembra 2026, v ktorom odsudzujú parlamentné voľby v Rusku a ich nezákonné konanie na dočasne okupovaných územiach Ukrajiny,</w:t>
      </w:r>
    </w:p>
    <w:p w:rsidR="00992D91" w:rsidRPr="00471823" w:rsidP="00992D91" w14:paraId="258365E7" w14:textId="523C8F59">
      <w:pPr>
        <w:pStyle w:val="NormalHanging12a"/>
      </w:pPr>
      <w:r w:rsidRPr="00471823">
        <w:rPr>
          <w:snapToGrid w:val="0"/>
        </w:rPr>
        <w:t>–</w:t>
      </w:r>
      <w:r w:rsidRPr="00471823">
        <w:rPr>
          <w:snapToGrid w:val="0"/>
        </w:rPr>
        <w:tab/>
      </w:r>
      <w:r w:rsidRPr="00471823">
        <w:t>so zreteľom na rezolúciu Parlamentného zhromaždenia Rady Európy 2677, prijatú 30. septembra 2026,</w:t>
      </w:r>
    </w:p>
    <w:p w:rsidR="00992D91" w:rsidRPr="00471823" w:rsidP="00992D91" w14:paraId="3CE9266F" w14:textId="565A795B">
      <w:pPr>
        <w:pStyle w:val="NormalHanging12a"/>
      </w:pPr>
      <w:r w:rsidRPr="00471823">
        <w:rPr>
          <w:snapToGrid w:val="0"/>
        </w:rPr>
        <w:t>–</w:t>
      </w:r>
      <w:r w:rsidRPr="00471823">
        <w:rPr>
          <w:snapToGrid w:val="0"/>
        </w:rPr>
        <w:tab/>
      </w:r>
      <w:r w:rsidRPr="00471823">
        <w:t>so zreteľom na vyhlásenie Úradu pre demokratické inštitúcie a ľudské práva Organizácie pre bezpečnosť a spoluprácu v Európe (OBSE/ODIHR) zo 6. augusta 2026 k rozhodnutiu Ruskej federácie nepozvať OBSE na pozorovanie volieb do Štátnej dumy,</w:t>
      </w:r>
    </w:p>
    <w:p w:rsidR="00992D91" w:rsidRPr="00471823" w:rsidP="00992D91" w14:paraId="57745028" w14:textId="67EE84ED">
      <w:pPr>
        <w:pStyle w:val="NormalHanging12a"/>
      </w:pPr>
      <w:r w:rsidRPr="00471823">
        <w:t>–</w:t>
      </w:r>
      <w:r w:rsidRPr="00471823">
        <w:tab/>
        <w:t>so zreteľom na Dohovor o ochrane ľudských práv a základných slobôd,</w:t>
      </w:r>
    </w:p>
    <w:p w:rsidR="00992D91" w:rsidRPr="00471823" w:rsidP="00992D91" w14:paraId="2433F496" w14:textId="446E7561">
      <w:pPr>
        <w:pStyle w:val="NormalHanging12a"/>
      </w:pPr>
      <w:r w:rsidRPr="00471823">
        <w:rPr>
          <w:snapToGrid w:val="0"/>
        </w:rPr>
        <w:t>–</w:t>
      </w:r>
      <w:r w:rsidRPr="00471823">
        <w:rPr>
          <w:snapToGrid w:val="0"/>
        </w:rPr>
        <w:tab/>
      </w:r>
      <w:r w:rsidRPr="00471823">
        <w:t>so zreteľom na Haagsky poriadok z roku 1907, najmä na jeho články 42 a 43,</w:t>
      </w:r>
    </w:p>
    <w:p w:rsidR="00992D91" w:rsidRPr="00471823" w:rsidP="00992D91" w14:paraId="783AE11A" w14:textId="5C99D8B0">
      <w:pPr>
        <w:pStyle w:val="NormalHanging12a"/>
      </w:pPr>
      <w:r w:rsidRPr="00471823">
        <w:rPr>
          <w:snapToGrid w:val="0"/>
        </w:rPr>
        <w:t>–</w:t>
      </w:r>
      <w:r w:rsidRPr="00471823">
        <w:rPr>
          <w:snapToGrid w:val="0"/>
        </w:rPr>
        <w:tab/>
      </w:r>
      <w:r w:rsidRPr="00471823">
        <w:t>so zreteľom na štvrtý Ženevský dohovor z roku 1949, najmä na jeho článok 47,</w:t>
      </w:r>
    </w:p>
    <w:p w:rsidR="00992D91" w:rsidRPr="00471823" w:rsidP="00992D91" w14:paraId="05DA8EA5" w14:textId="77777777">
      <w:pPr>
        <w:pStyle w:val="NormalHanging12a"/>
      </w:pPr>
      <w:r w:rsidRPr="00471823">
        <w:rPr>
          <w:snapToGrid w:val="0"/>
        </w:rPr>
        <w:t>–</w:t>
      </w:r>
      <w:r w:rsidRPr="00471823">
        <w:rPr>
          <w:snapToGrid w:val="0"/>
        </w:rPr>
        <w:tab/>
      </w:r>
      <w:r w:rsidRPr="00471823">
        <w:t>so zreteľom na Chartu OSN z roku 1945,</w:t>
      </w:r>
    </w:p>
    <w:p w:rsidR="00992D91" w:rsidRPr="00471823" w:rsidP="00992D91" w14:paraId="2C9F0E82" w14:textId="77777777">
      <w:pPr>
        <w:pStyle w:val="NormalHanging12a"/>
      </w:pPr>
      <w:r w:rsidRPr="00471823">
        <w:t>–</w:t>
      </w:r>
      <w:r w:rsidRPr="00471823">
        <w:tab/>
        <w:t>so zreteľom na článok 136 ods. 2 rokovacieho poriadku,</w:t>
      </w:r>
    </w:p>
    <w:p w:rsidR="00992D91" w:rsidRPr="00471823" w:rsidP="00992D91" w14:paraId="6CFC5E66" w14:textId="568AB12B">
      <w:pPr>
        <w:pStyle w:val="NormalHanging12a"/>
      </w:pPr>
      <w:r w:rsidRPr="00471823">
        <w:t>A.</w:t>
      </w:r>
      <w:r w:rsidRPr="00471823">
        <w:rPr>
          <w:snapToGrid w:val="0"/>
        </w:rPr>
        <w:tab/>
      </w:r>
      <w:r w:rsidRPr="00471823">
        <w:t>keďže tzv. voľby do ruskej Štátnej dumy, ktoré sa konali od 18. do 20. septembra 2026, boli nelegitímne a nedemokratické, keďže sa uskutočnili bez akejkoľvek skutočnej politickej súťaže v čoraz autoritatívnejšom prostredí, ktoré sa vyznačuje systematickými a inštitucionalizovanými represiami; keďže Rusko naďalej vedie nezákonnú útočnú vojnu proti Ukrajine;</w:t>
      </w:r>
    </w:p>
    <w:p w:rsidR="00992D91" w:rsidRPr="00471823" w:rsidP="00992D91" w14:paraId="28BE72B5" w14:textId="0907C856">
      <w:pPr>
        <w:pStyle w:val="NormalHanging12a"/>
      </w:pPr>
      <w:r w:rsidRPr="00471823">
        <w:rPr>
          <w:snapToGrid w:val="0"/>
        </w:rPr>
        <w:t>B.</w:t>
      </w:r>
      <w:r w:rsidRPr="00471823">
        <w:rPr>
          <w:snapToGrid w:val="0"/>
        </w:rPr>
        <w:tab/>
      </w:r>
      <w:r w:rsidRPr="00471823">
        <w:t>keďže podľa tvrdení Ústrednej volebnej komisie Ruskej federácie získalo „Jednotné Rusko“ 57,83 % hlasov; keďže tento umelo vytvorený výsledok je dôsledkom rozsiahlej volebnej manipulácie a neúnavného potláčania nesúhlasu zo strany Putinovho režimu;</w:t>
      </w:r>
    </w:p>
    <w:p w:rsidR="00992D91" w:rsidRPr="00471823" w:rsidP="00992D91" w14:paraId="2D4342C7" w14:textId="5B43DE93">
      <w:pPr>
        <w:pStyle w:val="NormalHanging12a"/>
      </w:pPr>
      <w:r w:rsidRPr="00471823">
        <w:rPr>
          <w:snapToGrid w:val="0"/>
        </w:rPr>
        <w:t>C.</w:t>
      </w:r>
      <w:r w:rsidRPr="00471823">
        <w:rPr>
          <w:snapToGrid w:val="0"/>
        </w:rPr>
        <w:tab/>
      </w:r>
      <w:r w:rsidRPr="00471823">
        <w:t xml:space="preserve">keďže čoraz autoritatívnejší režim v Rusku opakovane využíva takéto zmanipulované </w:t>
      </w:r>
      <w:r w:rsidRPr="00471823">
        <w:t>voľby len ako formálne gesto smerom k demokracii, pričom ich používa ako nástroje na vytvorenie ilúzie politickej legitimity a naďalej sústreďuje politickú a výkonnú moc do rúk niekoľkých osôb; keďže tieto zinscenované voľby opäť ukázali hlboké pohŕdanie Kremľom a nerešpektovanie demokratických zásad; keďže Putinov režim systematicky zbavuje ruských občanov ich práva na slobodné a spravodlivé voľby;</w:t>
      </w:r>
    </w:p>
    <w:p w:rsidR="00992D91" w:rsidRPr="00471823" w:rsidP="00992D91" w14:paraId="0865888A" w14:textId="0D1A1BE0">
      <w:pPr>
        <w:pStyle w:val="NormalHanging12a"/>
      </w:pPr>
      <w:r w:rsidRPr="00471823">
        <w:rPr>
          <w:snapToGrid w:val="0"/>
        </w:rPr>
        <w:t>D.</w:t>
      </w:r>
      <w:r w:rsidRPr="00471823">
        <w:rPr>
          <w:snapToGrid w:val="0"/>
        </w:rPr>
        <w:tab/>
      </w:r>
      <w:r w:rsidRPr="00471823">
        <w:t xml:space="preserve">keďže tieto voľby sa uskutočnili aj na okupovaných územiach Ukrajiny, ako je Krymský polostrov a časti Doneckej, </w:t>
      </w:r>
      <w:r w:rsidRPr="00471823">
        <w:t>Chersonskej</w:t>
      </w:r>
      <w:r w:rsidRPr="00471823">
        <w:t xml:space="preserve">, </w:t>
      </w:r>
      <w:r w:rsidRPr="00471823">
        <w:t>Luhanskej</w:t>
      </w:r>
      <w:r w:rsidRPr="00471823">
        <w:t xml:space="preserve"> a Záporožskej oblasti; keďže ukrajinská vláda výsledky týchto volieb oprávnene odmietla a dôrazne odsúdila pokus Ruska podmaniť si tieto oblasti prostredníctvom takýchto zbabelých opatrení;</w:t>
      </w:r>
    </w:p>
    <w:p w:rsidR="00992D91" w:rsidRPr="00471823" w:rsidP="00992D91" w14:paraId="3A33CB1C" w14:textId="77777777">
      <w:pPr>
        <w:pStyle w:val="NormalHanging12a"/>
      </w:pPr>
      <w:r w:rsidRPr="00471823">
        <w:rPr>
          <w:snapToGrid w:val="0"/>
        </w:rPr>
        <w:t>E.</w:t>
      </w:r>
      <w:r w:rsidRPr="00471823">
        <w:rPr>
          <w:snapToGrid w:val="0"/>
        </w:rPr>
        <w:tab/>
      </w:r>
      <w:r w:rsidRPr="00471823">
        <w:t>keďže sa objavilo množstvo správ volebných podvodoch vrátane manipulácie s hlasovacími lístkami, úmyselných štatistických anomálií, prevodov hlasov a prudkého nárastu volebnej účasti;</w:t>
      </w:r>
    </w:p>
    <w:p w:rsidR="00992D91" w:rsidRPr="00471823" w:rsidP="00992D91" w14:paraId="7003B4C1" w14:textId="7D474D71">
      <w:pPr>
        <w:pStyle w:val="NormalHanging12a"/>
      </w:pPr>
      <w:r w:rsidRPr="00471823">
        <w:rPr>
          <w:snapToGrid w:val="0"/>
        </w:rPr>
        <w:t>F.</w:t>
      </w:r>
      <w:r w:rsidRPr="00471823">
        <w:rPr>
          <w:snapToGrid w:val="0"/>
        </w:rPr>
        <w:tab/>
      </w:r>
      <w:r w:rsidRPr="00471823">
        <w:t>keďže Rusko nepozvalo OBSE/ODIHR na pozorovanie volieb, čo opäť dokazuje vzorec nerešpektovania záväzkov prijatých všetkými zúčastnenými štátmi OBSE;</w:t>
      </w:r>
    </w:p>
    <w:p w:rsidR="00992D91" w:rsidRPr="00471823" w:rsidP="00992D91" w14:paraId="593A4A2C" w14:textId="0D8543BE">
      <w:pPr>
        <w:pStyle w:val="NormalHanging12a"/>
      </w:pPr>
      <w:r w:rsidRPr="00471823">
        <w:rPr>
          <w:snapToGrid w:val="0"/>
        </w:rPr>
        <w:t>G.</w:t>
      </w:r>
      <w:r w:rsidRPr="00471823">
        <w:rPr>
          <w:snapToGrid w:val="0"/>
        </w:rPr>
        <w:tab/>
      </w:r>
      <w:r w:rsidRPr="00471823">
        <w:t xml:space="preserve">keďže ruské orgány pod čoraz autoritatívnejšou vládou Vladimíra Putina systematicky potláčajú akúkoľvek formu nesúhlasu a odopierajú ruským občanom zmysluplnú účasť na politickom živote a ich základné slobody prenasledovaním opozičných politikov, organizácií občianskej spoločnosti a nezávislých médií, zastrašovaním, </w:t>
      </w:r>
      <w:r w:rsidRPr="00471823">
        <w:t>kriminalizáciou</w:t>
      </w:r>
      <w:r w:rsidRPr="00471823">
        <w:t xml:space="preserve"> a systematickými a inštitucionalizovanými represiami, pričom opakovane oslabujú demokratické zásady, ústavné záruky a právo na skutočné demokratické zastúpenie;</w:t>
      </w:r>
    </w:p>
    <w:p w:rsidR="00992D91" w:rsidRPr="00471823" w:rsidP="00992D91" w14:paraId="2C3C4FC7" w14:textId="74D0B0BA">
      <w:pPr>
        <w:pStyle w:val="NormalHanging12a"/>
      </w:pPr>
      <w:r w:rsidRPr="00471823">
        <w:rPr>
          <w:snapToGrid w:val="0"/>
        </w:rPr>
        <w:t>H.</w:t>
      </w:r>
      <w:r w:rsidRPr="00471823">
        <w:rPr>
          <w:snapToGrid w:val="0"/>
        </w:rPr>
        <w:tab/>
      </w:r>
      <w:r w:rsidRPr="00471823">
        <w:t>keďže uplynuli viac ako štyri roky odkedy Rusko začalo nezákonnú, nevyprovokovanú a neodôvodnenú rozsiahlu útočnú vojnu proti Ukrajine, pričom pokračovalo v útokoch, ktoré začalo anexiou Krymu a okupáciou častí regiónu Donbas v roku 2014, čo je zjavným porušením nezávislosti, zvrchovanosti a územnej celistvosti Ukrajiny; keďže tzv. voľby do Štátnej dumy boli prvými takýmito voľbami, ktoré sa konali od začiatku útočnej vojny Ruska proti Ukrajine, a boli zorganizované a zmanipulované s cieľom poskytnúť Putinovi údajný mandát na pokračovanie útočnej vojny;</w:t>
      </w:r>
    </w:p>
    <w:p w:rsidR="00992D91" w:rsidRPr="00471823" w:rsidP="00992D91" w14:paraId="20CD5E4F" w14:textId="6A53C48E">
      <w:pPr>
        <w:pStyle w:val="NormalHanging12a"/>
      </w:pPr>
      <w:r w:rsidRPr="00471823">
        <w:rPr>
          <w:snapToGrid w:val="0"/>
        </w:rPr>
        <w:t>I.</w:t>
      </w:r>
      <w:r w:rsidRPr="00471823">
        <w:rPr>
          <w:snapToGrid w:val="0"/>
        </w:rPr>
        <w:tab/>
      </w:r>
      <w:r w:rsidRPr="00471823">
        <w:t>keďže inštitúcie EÚ neochvejne a jasne odmietli výsledky nedávnych volieb; keďže EÚ neuznáva zákonnosť týchto zinscenovaných volieb na dočasne okupovaných územiach Ukrajiny a považuje výsledky za neplatné;</w:t>
      </w:r>
    </w:p>
    <w:p w:rsidR="00992D91" w:rsidRPr="00471823" w:rsidP="00992D91" w14:paraId="01A7CE73" w14:textId="542D5AC2">
      <w:pPr>
        <w:pStyle w:val="NormalHanging12a"/>
      </w:pPr>
      <w:r w:rsidRPr="00471823">
        <w:rPr>
          <w:snapToGrid w:val="0"/>
        </w:rPr>
        <w:t>J.</w:t>
      </w:r>
      <w:r w:rsidRPr="00471823">
        <w:rPr>
          <w:snapToGrid w:val="0"/>
        </w:rPr>
        <w:tab/>
      </w:r>
      <w:r w:rsidRPr="00471823">
        <w:t>keďže Parlamentné zhromaždenie Rady Európy prijalo rezolúciu s názvom „falošné „voľby“ v Rusku a jeho destabilizačné útoky na Európu“, v ktorom dôrazne odsúdilo nedemokratický a nelegitímny charakter volieb; keďže v rezolúcii sa tiež dôrazne odsudzujú neutíchajúce a brutálne útoky Ruska na Ukrajinu a jeho hybridné operácie proti členským štátom EÚ;</w:t>
      </w:r>
    </w:p>
    <w:p w:rsidR="00992D91" w:rsidRPr="00471823" w:rsidP="00992D91" w14:paraId="1DA7CBC6" w14:textId="4EEC2443">
      <w:pPr>
        <w:pStyle w:val="NormalHanging12a"/>
      </w:pPr>
      <w:r w:rsidRPr="00471823">
        <w:rPr>
          <w:snapToGrid w:val="0"/>
        </w:rPr>
        <w:t>1.</w:t>
      </w:r>
      <w:r w:rsidRPr="00471823">
        <w:rPr>
          <w:snapToGrid w:val="0"/>
        </w:rPr>
        <w:tab/>
      </w:r>
      <w:r w:rsidRPr="00471823">
        <w:t xml:space="preserve">vyjadruje poľutovanie nad nedostatkom slobodných a spravodlivých volieb, ktoré by sa uskutočnili v plnom súlade so základnými demokratickými zásadami a pri plnom dodržiavaní základných slobôd; čo najdôraznejšie odsudzuje systematické a inštitucionalizované represie a porušovanie občianskych a politických práv v Ruskej federácii; vyjadruje poľutovanie nad tým, že ruská politická opozícia, občianska spoločnosť a nezávislé médiá boli brutálne potláčané a že všetci kritici režimu boli buď </w:t>
      </w:r>
      <w:r w:rsidRPr="00471823">
        <w:t>uväznení, zavraždení, alebo nútení odísť do exilu;</w:t>
      </w:r>
    </w:p>
    <w:p w:rsidR="00992D91" w:rsidRPr="00471823" w:rsidP="00992D91" w14:paraId="49413509" w14:textId="6C32920B">
      <w:pPr>
        <w:pStyle w:val="NormalHanging12a"/>
      </w:pPr>
      <w:r w:rsidRPr="00471823">
        <w:rPr>
          <w:snapToGrid w:val="0"/>
        </w:rPr>
        <w:t>2.</w:t>
      </w:r>
      <w:r w:rsidRPr="00471823">
        <w:rPr>
          <w:snapToGrid w:val="0"/>
        </w:rPr>
        <w:tab/>
      </w:r>
      <w:r w:rsidRPr="00471823">
        <w:t>dôrazne odsudzuje všetky volebné porušenia, ktorých sa dopustil režim Vladimíra Putina počas tzv. volieb do ruskej Štátnej dumy v septembri 2026, ako aj dlhodobé, systematické a inštitucionalizované represie a porušovanie občianskych a politických práv, ktoré im predchádzali; zdôrazňuje, že tzv. voľby v Rusku sa uskutočnili v atmosfére strachu a zastrašovania a na pozadí nezákonnej, nevyprovokovanej a neodôvodnenej útočnej vojny proti Ukrajine; konštatuje, že v týchto tzv. voľbách nekandidovali skutoční alternatívni kandidáti, neboli pri nich prítomné slobodné médiá ani vierohodní pozorovatelia a neuplatňovali sa v nich politické slobody; konštatuje, že voľby boli nelegitímne a nedemokratické;</w:t>
      </w:r>
    </w:p>
    <w:p w:rsidR="00992D91" w:rsidRPr="00471823" w:rsidP="00992D91" w14:paraId="659C71E5" w14:textId="468D32B2">
      <w:pPr>
        <w:pStyle w:val="NormalHanging12a"/>
      </w:pPr>
      <w:r w:rsidRPr="00471823">
        <w:rPr>
          <w:snapToGrid w:val="0"/>
        </w:rPr>
        <w:t>3.</w:t>
      </w:r>
      <w:r w:rsidRPr="00471823">
        <w:rPr>
          <w:snapToGrid w:val="0"/>
        </w:rPr>
        <w:tab/>
      </w:r>
      <w:r w:rsidRPr="00471823">
        <w:t>odmieta uznať ruskú Štátnu dumu za legitímneho zástupcu a zákonodarný orgán Ruskej federácie a odmieta uznať akékoľvek právne alebo politické dôsledky vyplývajúce z nezákonnej organizácie tzv. volieb Ruskom na dočasne okupovaných územiach Ukrajiny; vyzýva Radu a členské štáty, aby prijali rovnakú pozíciu neuznania;</w:t>
      </w:r>
    </w:p>
    <w:p w:rsidR="00992D91" w:rsidRPr="00471823" w:rsidP="00992D91" w14:paraId="3DCA5B9F" w14:textId="01FA7469">
      <w:pPr>
        <w:pStyle w:val="NormalHanging12a"/>
      </w:pPr>
      <w:r w:rsidRPr="00471823">
        <w:rPr>
          <w:snapToGrid w:val="0"/>
        </w:rPr>
        <w:t>4.</w:t>
      </w:r>
      <w:r w:rsidRPr="00471823">
        <w:rPr>
          <w:snapToGrid w:val="0"/>
        </w:rPr>
        <w:tab/>
      </w:r>
      <w:r w:rsidRPr="00471823">
        <w:t xml:space="preserve">odsudzuje tzv. voľby, ktoré sa uskutočnili na Kryme, v častiach Doneckej, </w:t>
      </w:r>
      <w:r w:rsidRPr="00471823">
        <w:t>Chersonskej</w:t>
      </w:r>
      <w:r w:rsidRPr="00471823">
        <w:t xml:space="preserve">, </w:t>
      </w:r>
      <w:r w:rsidRPr="00471823">
        <w:t>Luhanskej</w:t>
      </w:r>
      <w:r w:rsidRPr="00471823">
        <w:t xml:space="preserve"> a Záporožskej oblasti okupovaných Ruskom, v </w:t>
      </w:r>
      <w:r w:rsidRPr="00471823">
        <w:t>podnesterskej</w:t>
      </w:r>
      <w:r w:rsidRPr="00471823">
        <w:t xml:space="preserve"> oblasti Moldavskej republiky a v gruzínskych regiónoch Abcházsko a Južné Osetsko;</w:t>
      </w:r>
    </w:p>
    <w:p w:rsidR="00992D91" w:rsidRPr="00471823" w:rsidP="00992D91" w14:paraId="1729BF27" w14:textId="2FA91C03">
      <w:pPr>
        <w:pStyle w:val="NormalHanging12a"/>
      </w:pPr>
      <w:r w:rsidRPr="00471823">
        <w:rPr>
          <w:snapToGrid w:val="0"/>
        </w:rPr>
        <w:t>5.</w:t>
      </w:r>
      <w:r w:rsidRPr="00471823">
        <w:rPr>
          <w:snapToGrid w:val="0"/>
        </w:rPr>
        <w:tab/>
      </w:r>
      <w:r w:rsidRPr="00471823">
        <w:t xml:space="preserve">odsudzuje usporiadanie volieb v </w:t>
      </w:r>
      <w:r w:rsidRPr="00471823">
        <w:t>podnesterskej</w:t>
      </w:r>
      <w:r w:rsidRPr="00471823">
        <w:t xml:space="preserve"> oblasti Moldavskej republiky a zriadenie ruských volebných miestností v gruzínskych regiónoch Abcházsko a Južné Osetsko; opakuje svoju neochvejnú podporu zvrchovanosti a územnej celistvosti Gruzínska a Moldavskej republiky v rámci ich medzinárodne uznaných hraníc a vyjadruje poľutovanie nad pokračujúcim zlým zaobchádzaním s obyvateľmi týchto okupovaných území a nad ich útlakom;</w:t>
      </w:r>
    </w:p>
    <w:p w:rsidR="00992D91" w:rsidRPr="00471823" w:rsidP="00992D91" w14:paraId="3796ED39" w14:textId="507B8973">
      <w:pPr>
        <w:pStyle w:val="NormalHanging12a"/>
      </w:pPr>
      <w:r w:rsidRPr="00471823">
        <w:rPr>
          <w:snapToGrid w:val="0"/>
        </w:rPr>
        <w:t>6.</w:t>
      </w:r>
      <w:r w:rsidRPr="00471823">
        <w:rPr>
          <w:snapToGrid w:val="0"/>
        </w:rPr>
        <w:tab/>
      </w:r>
      <w:r w:rsidRPr="00471823">
        <w:t>zdôrazňuje, že rozhodnutie ruských orgánov nepozvať volebnú pozorovateľskú misiu OBSE/ODIHR na pozorovanie volieb ďalej podčiarkuje úplný nedostatok legitimity ruských štátnych inštitúcií a zúfalé úsilie režimu o zachovanie zdanlivej demokratickej legitimity;</w:t>
      </w:r>
    </w:p>
    <w:p w:rsidR="00992D91" w:rsidRPr="00471823" w:rsidP="00992D91" w14:paraId="34176412" w14:textId="3479993E">
      <w:pPr>
        <w:pStyle w:val="NormalHanging12a"/>
      </w:pPr>
      <w:r w:rsidRPr="00471823">
        <w:rPr>
          <w:snapToGrid w:val="0"/>
        </w:rPr>
        <w:t>7.</w:t>
      </w:r>
      <w:r w:rsidRPr="00471823">
        <w:rPr>
          <w:snapToGrid w:val="0"/>
        </w:rPr>
        <w:tab/>
      </w:r>
      <w:r w:rsidRPr="00471823">
        <w:t xml:space="preserve">vyjadruje poľutovanie nad vylúčením strany </w:t>
      </w:r>
      <w:r w:rsidRPr="00471823">
        <w:t>Jabloko</w:t>
      </w:r>
      <w:r w:rsidRPr="00471823">
        <w:t xml:space="preserve"> zo Štátnej dumy a regionálnych volebných zoznamov; odsudzuje zinscenované rozsudky vynesené nad podpredsedami strany </w:t>
      </w:r>
      <w:r w:rsidRPr="00471823">
        <w:t>Jabloko</w:t>
      </w:r>
      <w:r w:rsidRPr="00471823">
        <w:t xml:space="preserve"> Levom </w:t>
      </w:r>
      <w:r w:rsidRPr="00471823">
        <w:t>Šlosbergom</w:t>
      </w:r>
      <w:r w:rsidRPr="00471823">
        <w:t xml:space="preserve"> a Maximom </w:t>
      </w:r>
      <w:r w:rsidRPr="00471823">
        <w:t>Kruglovom</w:t>
      </w:r>
      <w:r w:rsidRPr="00471823">
        <w:t xml:space="preserve"> krátko pred voľbami a vyzýva na ich okamžité prepustenie; zdôrazňuje, že </w:t>
      </w:r>
      <w:r w:rsidRPr="00471823">
        <w:t>Jabloko</w:t>
      </w:r>
      <w:r w:rsidRPr="00471823">
        <w:t xml:space="preserve"> bola jediná registrovaná politická strana, ktorá otvorene vyzývala na ukončenie útočnej vojny Ruska proti Ukrajine;</w:t>
      </w:r>
    </w:p>
    <w:p w:rsidR="00992D91" w:rsidRPr="00471823" w:rsidP="00992D91" w14:paraId="0066E182" w14:textId="179BF6FD">
      <w:pPr>
        <w:pStyle w:val="NormalHanging12a"/>
      </w:pPr>
      <w:r w:rsidRPr="00471823">
        <w:rPr>
          <w:snapToGrid w:val="0"/>
        </w:rPr>
        <w:t>8.</w:t>
      </w:r>
      <w:r w:rsidRPr="00471823">
        <w:rPr>
          <w:snapToGrid w:val="0"/>
        </w:rPr>
        <w:tab/>
      </w:r>
      <w:r w:rsidRPr="00471823">
        <w:t>odsudzuje pokračujúce potláčanie akejkoľvek formy nesúhlasu ruskými orgánmi, a to aj prostredníctvom represívnych právnych predpisov a politicky motivovaných trestov odňatia slobody zameraných na opozičných politikov, organizácie občianskej spoločnosti, obhajcov ľudských práv a nezávislé médiá; pripomína, že nezákonný zákon o zahraničných agentoch, ktorý bol prijatý v oku 2012, zaviedol vážne obmedzenia pre ruskú občiansku spoločnosť;</w:t>
      </w:r>
    </w:p>
    <w:p w:rsidR="00992D91" w:rsidRPr="00471823" w:rsidP="00992D91" w14:paraId="05E5D8F9" w14:textId="2CB25A42">
      <w:pPr>
        <w:pStyle w:val="NormalHanging12a"/>
      </w:pPr>
      <w:r w:rsidRPr="00471823">
        <w:rPr>
          <w:snapToGrid w:val="0"/>
        </w:rPr>
        <w:t>9.</w:t>
      </w:r>
      <w:r w:rsidRPr="00471823">
        <w:rPr>
          <w:snapToGrid w:val="0"/>
        </w:rPr>
        <w:tab/>
      </w:r>
      <w:r w:rsidRPr="00471823">
        <w:t xml:space="preserve">odsudzuje drakonické opatrenia prijaté proti tým, ktorí vystupujú proti systematickým a inštitucionalizovaným represiám a korupcii Kremľa, ktoré vážne obmedzili </w:t>
      </w:r>
      <w:r w:rsidRPr="00471823">
        <w:t>podmienky potrebné na slobodné a demokratické voľby; konštatuje, že v súčasnosti je v Rusku viac ako 1500 politických väzňov a že od roku 2022 bolo 27 novinárov v exile odsúdených na trest odňatia slobody v neprítomnosti, 355 novinárov a médií bolo označených za „zahraničných agentov“ a 27 médií bolo označených za „nežiaduce organizácie“; ďalej konštatuje, že ruské orgány uvalili individuálne sankcie na mnohých zahraničných novinárov a systematicky využívali kontroly a obmedzenia internetu na sociálnych médiách a v aplikáciách na zasielanie správ na to, aby bránili slobodnej výmene informácií a otvorenej verejnej diskusii;</w:t>
      </w:r>
    </w:p>
    <w:p w:rsidR="00992D91" w:rsidRPr="00471823" w:rsidP="00992D91" w14:paraId="5DC18A65" w14:textId="3876CA75">
      <w:pPr>
        <w:pStyle w:val="NormalHanging12a"/>
      </w:pPr>
      <w:r w:rsidRPr="00471823">
        <w:rPr>
          <w:snapToGrid w:val="0"/>
        </w:rPr>
        <w:t>10.</w:t>
      </w:r>
      <w:r w:rsidRPr="00471823">
        <w:rPr>
          <w:snapToGrid w:val="0"/>
        </w:rPr>
        <w:tab/>
      </w:r>
      <w:r w:rsidRPr="00471823">
        <w:t xml:space="preserve">vyjadruje solidaritu s odvážnymi ruskými aktivistami, disidentmi, novinármi a všetkými, ktorí v Rusku aj v exile spochybnili autoritársku vládu Kremľa a jeho systém systematických a inštitucionalizovaných represií; pripomína brutálnu vraždu Alexeja </w:t>
      </w:r>
      <w:r w:rsidRPr="00471823">
        <w:t>Navaľného</w:t>
      </w:r>
      <w:r w:rsidRPr="00471823">
        <w:t xml:space="preserve"> a opätovne potvrdzuje, že ruský režim a Putin osobne nesú politickú a trestnú zodpovednosť za smrť disidentov; vyjadruje neochvejnú podporu ruskej občianskej spoločnosti, demokratickej opozícii a nezávislým médiám a vyzýva ruské orgány, aby stiahli všetky svojvoľné obvinenia a okamžite a bezpodmienečne prepustili všetkých politických väzňov a svojvoľne zadržiavané osoby;</w:t>
      </w:r>
    </w:p>
    <w:p w:rsidR="00992D91" w:rsidRPr="00471823" w:rsidP="00992D91" w14:paraId="64E726E8" w14:textId="5A392802">
      <w:pPr>
        <w:pStyle w:val="NormalHanging12a"/>
      </w:pPr>
      <w:r w:rsidRPr="00471823">
        <w:rPr>
          <w:snapToGrid w:val="0"/>
        </w:rPr>
        <w:t>11.</w:t>
      </w:r>
      <w:r w:rsidRPr="00471823">
        <w:rPr>
          <w:snapToGrid w:val="0"/>
        </w:rPr>
        <w:tab/>
      </w:r>
      <w:r w:rsidRPr="00471823">
        <w:t>naliehavo vyzýva ruské orgány, aby okamžite skoncovali s používaním mučenia, iných foriem zlého zaobchádzania a svojvoľných disciplinárnych opatrení voči všetkým zadržiavaným osobám a aby urýchlene zlepšili podmienky zadržiavania v súlade so záväzkami Ruska vyplývajúcimi z medzinárodného práva v oblasti ľudských práv, najmä pokiaľ ide o prístup väzňov k lekárom podľa vlastného výberu, k primeranej zdravotnej starostlivosti a k právnikom, ako aj o komunikáciu s rodinami;</w:t>
      </w:r>
    </w:p>
    <w:p w:rsidR="00992D91" w:rsidRPr="00471823" w:rsidP="00992D91" w14:paraId="12CC80A7" w14:textId="476DFA63">
      <w:pPr>
        <w:pStyle w:val="NormalHanging12a"/>
      </w:pPr>
      <w:r w:rsidRPr="00471823">
        <w:rPr>
          <w:snapToGrid w:val="0"/>
        </w:rPr>
        <w:t>12.</w:t>
      </w:r>
      <w:r w:rsidRPr="00471823">
        <w:rPr>
          <w:snapToGrid w:val="0"/>
        </w:rPr>
        <w:tab/>
      </w:r>
      <w:r w:rsidRPr="00471823">
        <w:t xml:space="preserve">opätovne potvrdzuje svoju neochvejnú podporu nezávislosti, zvrchovanosti a územnej celistvosti Ukrajiny v rámci jej medzinárodne uznaných hraníc; žiada, aby Rusko a jeho zástupné sily okamžite, úplne a bezpodmienečne ukončili všetky vojenské akcie na Ukrajine, zastavili všetky útoky na obytné oblasti a civilnú infraštruktúru, stiahli všetky vojenské sily, zástupné sily a vojenské vybavenie z celého medzinárodne uznaného územia Ukrajiny a prepustili a vrátili všetkých vojnových zajatcov, politických väzňov, unesené deti a civilistov; zdôrazňuje, že ruský režim naďalej prejavuje nepredstaviteľnú brutalitu útokmi na civilné ciele na Ukrajine; keďže humanitárna situácia na územiach okupovaných Ruskom zostáva katastrofálna, najmä v meste </w:t>
      </w:r>
      <w:r w:rsidRPr="00471823">
        <w:t>Olešky</w:t>
      </w:r>
      <w:r w:rsidRPr="00471823">
        <w:t>, ktoré je v súčasnosti obliehané a kde zostávajú uväznení civilisti vrátane detí bez dostatku potravín, liekov, lekárskej starostlivosti, tečúcej vody či elektriny;</w:t>
      </w:r>
    </w:p>
    <w:p w:rsidR="00992D91" w:rsidRPr="00471823" w:rsidP="00992D91" w14:paraId="4A704F7F" w14:textId="1C08F78B">
      <w:pPr>
        <w:pStyle w:val="NormalHanging12a"/>
      </w:pPr>
      <w:r w:rsidRPr="00471823">
        <w:rPr>
          <w:snapToGrid w:val="0"/>
        </w:rPr>
        <w:t>13.</w:t>
      </w:r>
      <w:r w:rsidRPr="00471823">
        <w:rPr>
          <w:snapToGrid w:val="0"/>
        </w:rPr>
        <w:tab/>
      </w:r>
      <w:r w:rsidRPr="00471823">
        <w:t xml:space="preserve">víta skutočnosť, že Rada prijala reštriktívne opatrenia voči 10 osobám za podporu systematického a inštitucionalizovaného potláčania demokratickej opozície a podkopávania demokracie a právneho štátu v Rusku; oceňuje, že Rada zaradila na zoznam troch ruských sudcov najvyššieho súdu a úradníka generálnej prokuratúry zapojeného do rozhodnutia, ktorým sa politickej strane </w:t>
      </w:r>
      <w:r w:rsidRPr="00471823">
        <w:t>Jabloko</w:t>
      </w:r>
      <w:r w:rsidRPr="00471823">
        <w:t xml:space="preserve"> zakazuje účasť na voľbách do Štátnej dumy;</w:t>
      </w:r>
    </w:p>
    <w:p w:rsidR="00992D91" w:rsidRPr="00471823" w:rsidP="00992D91" w14:paraId="51A6AA41" w14:textId="77777777">
      <w:pPr>
        <w:pStyle w:val="NormalHanging12a"/>
      </w:pPr>
      <w:r w:rsidRPr="00471823">
        <w:rPr>
          <w:snapToGrid w:val="0"/>
        </w:rPr>
        <w:t>14.</w:t>
      </w:r>
      <w:r w:rsidRPr="00471823">
        <w:rPr>
          <w:snapToGrid w:val="0"/>
        </w:rPr>
        <w:tab/>
      </w:r>
      <w:r w:rsidRPr="00471823">
        <w:t>vyzýva členské štáty EÚ, aby zaviedli reštriktívne opatrenia EÚ voči osobám, ktoré sú zapojené do politického prenasledovania vykonštruovania prípadov proti predstaviteľom ruskej občianskej spoločnosti a aktivistom;</w:t>
      </w:r>
    </w:p>
    <w:p w:rsidR="00992D91" w:rsidRPr="00471823" w:rsidP="00992D91" w14:paraId="01DE67C5" w14:textId="0CA22859">
      <w:pPr>
        <w:pStyle w:val="NormalHanging12a"/>
      </w:pPr>
      <w:r w:rsidRPr="00471823">
        <w:rPr>
          <w:snapToGrid w:val="0"/>
        </w:rPr>
        <w:t>15.</w:t>
      </w:r>
      <w:r w:rsidRPr="00471823">
        <w:rPr>
          <w:snapToGrid w:val="0"/>
        </w:rPr>
        <w:tab/>
      </w:r>
      <w:r w:rsidRPr="00471823">
        <w:t xml:space="preserve">naliehavo vyzýva na prijatie sankcií voči Ústrednej volebnej komisii Ruskej federácie, </w:t>
      </w:r>
      <w:r w:rsidRPr="00471823">
        <w:t>jej predsedovi a členom, regionálnym volebným komisiám a všetkým osobám, ktoré organizovali voľby, zabezpečovali ich priebeh, kandidovali v nich, tvrdia, že zastupujú dočasne okupované územia Ukrajiny v Štátnej dume, alebo pôsobili ako „pozorovatelia“ na dočasne okupovaných územiach Ukrajiny;</w:t>
      </w:r>
    </w:p>
    <w:p w:rsidR="00992D91" w:rsidRPr="00471823" w:rsidP="00992D91" w14:paraId="4C3F901C" w14:textId="4BA565D0">
      <w:pPr>
        <w:pStyle w:val="NormalHanging12a"/>
      </w:pPr>
      <w:r w:rsidRPr="00471823">
        <w:rPr>
          <w:snapToGrid w:val="0"/>
        </w:rPr>
        <w:t>16.</w:t>
      </w:r>
      <w:r w:rsidRPr="00471823">
        <w:rPr>
          <w:snapToGrid w:val="0"/>
        </w:rPr>
        <w:tab/>
      </w:r>
      <w:r w:rsidRPr="00471823">
        <w:t>požaduje cielené sankcie a iné reštriktívne opatrenia voči ruským orgánom, jednotlivcom a finančným a priemyselným subjektom, ktoré sú priamo alebo nepriamo zapojené do brutálnej útočnej vojny Ruska proti Ukrajine, nepriateľských činností proti členským štátom EÚ a porušovania medzinárodného humanitárneho práva; podobne žiada, aby sa prijali všetky potrebné opatrenia na zabránenie obchádzaniu sankcií;</w:t>
      </w:r>
    </w:p>
    <w:p w:rsidR="00992D91" w:rsidRPr="00471823" w:rsidP="00992D91" w14:paraId="3D886E12" w14:textId="5BF8199A">
      <w:pPr>
        <w:pStyle w:val="NormalHanging12a"/>
      </w:pPr>
      <w:r w:rsidRPr="00471823">
        <w:rPr>
          <w:snapToGrid w:val="0"/>
        </w:rPr>
        <w:t>17.</w:t>
      </w:r>
      <w:r w:rsidRPr="00471823">
        <w:rPr>
          <w:snapToGrid w:val="0"/>
        </w:rPr>
        <w:tab/>
      </w:r>
      <w:r w:rsidRPr="00471823">
        <w:t>vyzýva na politickú a diplomatickú izoláciu ruského režimu tak dlho, ako to bude potrebné, a to aj prostredníctvom koordinovaného úsilia o vylúčenie jeho zástupcov z kľúčových medzinárodných fór a zabránenie akejkoľvek normalizácii účasti Ruska na medzinárodných športových a kultúrnych podujatiach;</w:t>
      </w:r>
    </w:p>
    <w:p w:rsidR="00992D91" w:rsidRPr="00471823" w:rsidP="00992D91" w14:paraId="35F38899" w14:textId="53B50A0B">
      <w:pPr>
        <w:pStyle w:val="NormalHanging12a"/>
      </w:pPr>
      <w:r w:rsidRPr="00471823">
        <w:rPr>
          <w:snapToGrid w:val="0"/>
        </w:rPr>
        <w:t>18.</w:t>
      </w:r>
      <w:r w:rsidRPr="00471823">
        <w:rPr>
          <w:snapToGrid w:val="0"/>
        </w:rPr>
        <w:tab/>
      </w:r>
      <w:r w:rsidRPr="00471823">
        <w:t>vyzýva na pokračujúcu podporu ruských demokratických síl vrátane nezávislých novinárov, obhajcov ľudských práv a aktérov občianskej spoločnosti, ktorí sa usilujú o demokratickú budúcnosť Ruska a otvorene vystupujú proti útočnej vojne Ruska proti Ukrajine a jeho hybridnej vojne proti európskym demokraciám;</w:t>
      </w:r>
    </w:p>
    <w:p w:rsidR="00992D91" w:rsidRPr="00471823" w:rsidP="00992D91" w14:paraId="5ACC2A2D" w14:textId="036DBF2A">
      <w:pPr>
        <w:pStyle w:val="NormalHanging12a"/>
      </w:pPr>
      <w:r w:rsidRPr="00471823">
        <w:rPr>
          <w:snapToGrid w:val="0"/>
        </w:rPr>
        <w:t>19.</w:t>
      </w:r>
      <w:r w:rsidRPr="00471823">
        <w:rPr>
          <w:snapToGrid w:val="0"/>
        </w:rPr>
        <w:tab/>
      </w:r>
      <w:r w:rsidRPr="00471823">
        <w:t>poveruje svoju predsedníčku, aby postúpila toto uznesenie Rade, Komisii, podpredsedníčke Komisie/vysokej predstaviteľke Únie pre zahraničné veci a bezpečnostnú politiku, vládam a parlamentom členských štátov, Rade Európy, Organizácii pre bezpečnosť a spoluprácu v Európe a ruským orgánom.</w:t>
      </w:r>
    </w:p>
    <w:p w:rsidR="00866D70" w:rsidRPr="00471823" w:rsidP="00866D70" w14:paraId="3BCB0BFC" w14:textId="77777777"/>
    <w:sectPr w:rsidSect="00471823">
      <w:headerReference w:type="even" r:id="rId5"/>
      <w:headerReference w:type="default" r:id="rId6"/>
      <w:footerReference w:type="even" r:id="rId7"/>
      <w:footerReference w:type="default" r:id="rId8"/>
      <w:headerReference w:type="first" r:id="rId9"/>
      <w:footerReference w:type="first" r:id="rId10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71823" w:rsidRPr="00471823" w:rsidP="00471823" w14:paraId="69FA31C2" w14:textId="77777777">
    <w:pPr>
      <w:pStyle w:val="EPFooter"/>
    </w:pPr>
    <w:r w:rsidRPr="00471823">
      <w:t>PE</w:t>
    </w:r>
    <w:r w:rsidRPr="00471823">
      <w:rPr>
        <w:rStyle w:val="HideTWBExt"/>
      </w:rPr>
      <w:t>&lt;</w:t>
    </w:r>
    <w:r w:rsidRPr="00471823">
      <w:rPr>
        <w:rStyle w:val="HideTWBExt"/>
      </w:rPr>
      <w:t>NoPE</w:t>
    </w:r>
    <w:r w:rsidRPr="00471823">
      <w:rPr>
        <w:rStyle w:val="HideTWBExt"/>
      </w:rPr>
      <w:t>&gt;</w:t>
    </w:r>
    <w:r w:rsidRPr="00471823">
      <w:t>780.315</w:t>
    </w:r>
    <w:r w:rsidRPr="00471823">
      <w:rPr>
        <w:rStyle w:val="HideTWBExt"/>
      </w:rPr>
      <w:t>&lt;/</w:t>
    </w:r>
    <w:r w:rsidRPr="00471823">
      <w:rPr>
        <w:rStyle w:val="HideTWBExt"/>
      </w:rPr>
      <w:t>NoPE</w:t>
    </w:r>
    <w:r w:rsidRPr="00471823">
      <w:rPr>
        <w:rStyle w:val="HideTWBExt"/>
      </w:rPr>
      <w:t>&gt;&lt;Version&gt;</w:t>
    </w:r>
    <w:r w:rsidRPr="00471823">
      <w:t>v01-00</w:t>
    </w:r>
    <w:r w:rsidRPr="00471823">
      <w:rPr>
        <w:rStyle w:val="HideTWBExt"/>
      </w:rPr>
      <w:t>&lt;/</w:t>
    </w:r>
    <w:r w:rsidRPr="00471823">
      <w:rPr>
        <w:rStyle w:val="HideTWBExt"/>
      </w:rPr>
      <w:t>Version</w:t>
    </w:r>
    <w:r w:rsidRPr="00471823">
      <w:rPr>
        <w:rStyle w:val="HideTWBExt"/>
      </w:rPr>
      <w:t>&gt;</w:t>
    </w:r>
    <w:r w:rsidRPr="00471823">
      <w:tab/>
    </w:r>
    <w:r w:rsidRPr="00471823">
      <w:fldChar w:fldCharType="begin"/>
    </w:r>
    <w:r w:rsidRPr="00471823">
      <w:instrText xml:space="preserve"> PAGE  \* MERGEFORMAT </w:instrText>
    </w:r>
    <w:r w:rsidRPr="00471823">
      <w:fldChar w:fldCharType="separate"/>
    </w:r>
    <w:r w:rsidRPr="00471823">
      <w:rPr>
        <w:noProof/>
      </w:rPr>
      <w:t>6</w:t>
    </w:r>
    <w:r w:rsidRPr="00471823">
      <w:fldChar w:fldCharType="end"/>
    </w:r>
    <w:r w:rsidRPr="00471823">
      <w:t>/</w:t>
    </w:r>
    <w:r>
      <w:fldChar w:fldCharType="begin"/>
    </w:r>
    <w:r>
      <w:instrText xml:space="preserve"> NUMPAGES  \* MERGEFORMAT </w:instrText>
    </w:r>
    <w:r>
      <w:fldChar w:fldCharType="separate"/>
    </w:r>
    <w:r w:rsidRPr="00471823">
      <w:rPr>
        <w:noProof/>
      </w:rPr>
      <w:t>6</w:t>
    </w:r>
    <w:r w:rsidRPr="00471823">
      <w:rPr>
        <w:noProof/>
      </w:rPr>
      <w:fldChar w:fldCharType="end"/>
    </w:r>
    <w:r w:rsidRPr="00471823">
      <w:tab/>
    </w:r>
    <w:r w:rsidRPr="00471823">
      <w:rPr>
        <w:rStyle w:val="HideTWBExt"/>
      </w:rPr>
      <w:t>&lt;PathFdR&gt;</w:t>
    </w:r>
    <w:r w:rsidRPr="00471823">
      <w:t>RE\1352055SK.docx</w:t>
    </w:r>
    <w:r w:rsidRPr="00471823">
      <w:rPr>
        <w:rStyle w:val="HideTWBExt"/>
      </w:rPr>
      <w:t>&lt;/</w:t>
    </w:r>
    <w:r w:rsidRPr="00471823">
      <w:rPr>
        <w:rStyle w:val="HideTWBExt"/>
      </w:rPr>
      <w:t>PathFdR</w:t>
    </w:r>
    <w:r w:rsidRPr="00471823">
      <w:rPr>
        <w:rStyle w:val="HideTWBExt"/>
      </w:rPr>
      <w:t>&gt;</w:t>
    </w:r>
  </w:p>
  <w:p w:rsidR="00A90219" w:rsidRPr="00471823" w:rsidP="00471823" w14:paraId="695BA7AA" w14:textId="106A3AF2">
    <w:pPr>
      <w:pStyle w:val="EPFooter2"/>
    </w:pPr>
    <w:r w:rsidRPr="00471823">
      <w:t>SK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71823" w:rsidRPr="00471823" w:rsidP="00471823" w14:paraId="2415A5D3" w14:textId="77777777">
    <w:pPr>
      <w:pStyle w:val="EPFooter"/>
    </w:pPr>
    <w:r w:rsidRPr="00471823">
      <w:rPr>
        <w:rStyle w:val="HideTWBExt"/>
      </w:rPr>
      <w:t>&lt;PathFdR&gt;</w:t>
    </w:r>
    <w:r w:rsidRPr="00471823">
      <w:t>RE\1352055SK.docx</w:t>
    </w:r>
    <w:r w:rsidRPr="00471823">
      <w:rPr>
        <w:rStyle w:val="HideTWBExt"/>
      </w:rPr>
      <w:t>&lt;/</w:t>
    </w:r>
    <w:r w:rsidRPr="00471823">
      <w:rPr>
        <w:rStyle w:val="HideTWBExt"/>
      </w:rPr>
      <w:t>PathFdR</w:t>
    </w:r>
    <w:r w:rsidRPr="00471823">
      <w:rPr>
        <w:rStyle w:val="HideTWBExt"/>
      </w:rPr>
      <w:t>&gt;</w:t>
    </w:r>
    <w:r w:rsidRPr="00471823">
      <w:tab/>
    </w:r>
    <w:r w:rsidRPr="00471823">
      <w:fldChar w:fldCharType="begin"/>
    </w:r>
    <w:r w:rsidRPr="00471823">
      <w:instrText xml:space="preserve"> PAGE  \* MERGEFORMAT </w:instrText>
    </w:r>
    <w:r w:rsidRPr="00471823">
      <w:fldChar w:fldCharType="separate"/>
    </w:r>
    <w:r w:rsidRPr="00471823">
      <w:rPr>
        <w:noProof/>
      </w:rPr>
      <w:t>5</w:t>
    </w:r>
    <w:r w:rsidRPr="00471823">
      <w:fldChar w:fldCharType="end"/>
    </w:r>
    <w:r w:rsidRPr="00471823">
      <w:t>/</w:t>
    </w:r>
    <w:r>
      <w:fldChar w:fldCharType="begin"/>
    </w:r>
    <w:r>
      <w:instrText xml:space="preserve"> NUMPAGES  \* MERGEFORMAT </w:instrText>
    </w:r>
    <w:r>
      <w:fldChar w:fldCharType="separate"/>
    </w:r>
    <w:r w:rsidRPr="00471823">
      <w:rPr>
        <w:noProof/>
      </w:rPr>
      <w:t>6</w:t>
    </w:r>
    <w:r w:rsidRPr="00471823">
      <w:rPr>
        <w:noProof/>
      </w:rPr>
      <w:fldChar w:fldCharType="end"/>
    </w:r>
    <w:r w:rsidRPr="00471823">
      <w:tab/>
      <w:t>PE</w:t>
    </w:r>
    <w:r w:rsidRPr="00471823">
      <w:rPr>
        <w:rStyle w:val="HideTWBExt"/>
      </w:rPr>
      <w:t>&lt;</w:t>
    </w:r>
    <w:r w:rsidRPr="00471823">
      <w:rPr>
        <w:rStyle w:val="HideTWBExt"/>
      </w:rPr>
      <w:t>NoPE</w:t>
    </w:r>
    <w:r w:rsidRPr="00471823">
      <w:rPr>
        <w:rStyle w:val="HideTWBExt"/>
      </w:rPr>
      <w:t>&gt;</w:t>
    </w:r>
    <w:r w:rsidRPr="00471823">
      <w:t>780.315</w:t>
    </w:r>
    <w:r w:rsidRPr="00471823">
      <w:rPr>
        <w:rStyle w:val="HideTWBExt"/>
      </w:rPr>
      <w:t>&lt;/</w:t>
    </w:r>
    <w:r w:rsidRPr="00471823">
      <w:rPr>
        <w:rStyle w:val="HideTWBExt"/>
      </w:rPr>
      <w:t>NoPE</w:t>
    </w:r>
    <w:r w:rsidRPr="00471823">
      <w:rPr>
        <w:rStyle w:val="HideTWBExt"/>
      </w:rPr>
      <w:t>&gt;&lt;Version&gt;</w:t>
    </w:r>
    <w:r w:rsidRPr="00471823">
      <w:t>v01-00</w:t>
    </w:r>
    <w:r w:rsidRPr="00471823">
      <w:rPr>
        <w:rStyle w:val="HideTWBExt"/>
      </w:rPr>
      <w:t>&lt;/</w:t>
    </w:r>
    <w:r w:rsidRPr="00471823">
      <w:rPr>
        <w:rStyle w:val="HideTWBExt"/>
      </w:rPr>
      <w:t>Version</w:t>
    </w:r>
    <w:r w:rsidRPr="00471823">
      <w:rPr>
        <w:rStyle w:val="HideTWBExt"/>
      </w:rPr>
      <w:t>&gt;</w:t>
    </w:r>
  </w:p>
  <w:p w:rsidR="00A90219" w:rsidRPr="00471823" w:rsidP="00471823" w14:paraId="308EC538" w14:textId="4DBD7044">
    <w:pPr>
      <w:pStyle w:val="EPFooter2"/>
    </w:pPr>
    <w:r w:rsidRPr="00471823">
      <w:tab/>
    </w:r>
    <w:r w:rsidRPr="00471823">
      <w:tab/>
      <w:t>SK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71823" w:rsidRPr="00471823" w:rsidP="00471823" w14:paraId="5740C61A" w14:textId="77777777">
    <w:pPr>
      <w:pStyle w:val="EPFooter"/>
    </w:pPr>
    <w:r w:rsidRPr="00471823">
      <w:rPr>
        <w:rStyle w:val="HideTWBExt"/>
      </w:rPr>
      <w:t>&lt;PathFdR&gt;</w:t>
    </w:r>
    <w:r w:rsidRPr="00471823">
      <w:t>RE\1352055SK.docx</w:t>
    </w:r>
    <w:r w:rsidRPr="00471823">
      <w:rPr>
        <w:rStyle w:val="HideTWBExt"/>
      </w:rPr>
      <w:t>&lt;/</w:t>
    </w:r>
    <w:r w:rsidRPr="00471823">
      <w:rPr>
        <w:rStyle w:val="HideTWBExt"/>
      </w:rPr>
      <w:t>PathFdR</w:t>
    </w:r>
    <w:r w:rsidRPr="00471823">
      <w:rPr>
        <w:rStyle w:val="HideTWBExt"/>
      </w:rPr>
      <w:t>&gt;</w:t>
    </w:r>
    <w:r w:rsidRPr="00471823">
      <w:tab/>
    </w:r>
    <w:r w:rsidRPr="00471823">
      <w:tab/>
      <w:t>PE</w:t>
    </w:r>
    <w:r w:rsidRPr="00471823">
      <w:rPr>
        <w:rStyle w:val="HideTWBExt"/>
      </w:rPr>
      <w:t>&lt;</w:t>
    </w:r>
    <w:r w:rsidRPr="00471823">
      <w:rPr>
        <w:rStyle w:val="HideTWBExt"/>
      </w:rPr>
      <w:t>NoPE</w:t>
    </w:r>
    <w:r w:rsidRPr="00471823">
      <w:rPr>
        <w:rStyle w:val="HideTWBExt"/>
      </w:rPr>
      <w:t>&gt;</w:t>
    </w:r>
    <w:r w:rsidRPr="00471823">
      <w:t>780.315</w:t>
    </w:r>
    <w:r w:rsidRPr="00471823">
      <w:rPr>
        <w:rStyle w:val="HideTWBExt"/>
      </w:rPr>
      <w:t>&lt;/</w:t>
    </w:r>
    <w:r w:rsidRPr="00471823">
      <w:rPr>
        <w:rStyle w:val="HideTWBExt"/>
      </w:rPr>
      <w:t>NoPE</w:t>
    </w:r>
    <w:r w:rsidRPr="00471823">
      <w:rPr>
        <w:rStyle w:val="HideTWBExt"/>
      </w:rPr>
      <w:t>&gt;&lt;Version&gt;</w:t>
    </w:r>
    <w:r w:rsidRPr="00471823">
      <w:t>v01-00</w:t>
    </w:r>
    <w:r w:rsidRPr="00471823">
      <w:rPr>
        <w:rStyle w:val="HideTWBExt"/>
      </w:rPr>
      <w:t>&lt;/</w:t>
    </w:r>
    <w:r w:rsidRPr="00471823">
      <w:rPr>
        <w:rStyle w:val="HideTWBExt"/>
      </w:rPr>
      <w:t>Version</w:t>
    </w:r>
    <w:r w:rsidRPr="00471823">
      <w:rPr>
        <w:rStyle w:val="HideTWBExt"/>
      </w:rPr>
      <w:t>&gt;</w:t>
    </w:r>
  </w:p>
  <w:p w:rsidR="00A90219" w:rsidRPr="00471823" w:rsidP="00471823" w14:paraId="2367C7C7" w14:textId="071A7D12">
    <w:pPr>
      <w:pStyle w:val="EPFooter2"/>
    </w:pPr>
    <w:r w:rsidRPr="00471823">
      <w:t>SK</w:t>
    </w:r>
    <w:r w:rsidRPr="00471823">
      <w:tab/>
    </w:r>
    <w:r w:rsidRPr="00471823">
      <w:rPr>
        <w:b w:val="0"/>
        <w:i/>
        <w:color w:val="C0C0C0"/>
        <w:sz w:val="22"/>
      </w:rPr>
      <w:t>Zjednotení v rozmanitosti</w:t>
    </w:r>
    <w:r w:rsidRPr="00471823">
      <w:tab/>
      <w:t>SK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A4333" w14:paraId="7124B3C7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A4333" w14:paraId="4E649F3B" w14:textId="777777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A4333" w14:paraId="2542E955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mirrorMargins/>
  <w:bordersDoNotSurroundHeader/>
  <w:bordersDoNotSurroundFooter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hyphenationZone w:val="425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</w:footnotePr>
  <w:endnotePr>
    <w:numFmt w:val="decimal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7003"/>
    <w:rsid w:val="00023592"/>
    <w:rsid w:val="00037F46"/>
    <w:rsid w:val="00094DDA"/>
    <w:rsid w:val="000F46F2"/>
    <w:rsid w:val="00117781"/>
    <w:rsid w:val="001B49A3"/>
    <w:rsid w:val="001B7CFB"/>
    <w:rsid w:val="001C16A7"/>
    <w:rsid w:val="001C62C5"/>
    <w:rsid w:val="001D16A3"/>
    <w:rsid w:val="001E2450"/>
    <w:rsid w:val="00222BBB"/>
    <w:rsid w:val="002574AA"/>
    <w:rsid w:val="002C7767"/>
    <w:rsid w:val="00303413"/>
    <w:rsid w:val="003772FA"/>
    <w:rsid w:val="00391338"/>
    <w:rsid w:val="003B4F65"/>
    <w:rsid w:val="00411D03"/>
    <w:rsid w:val="00412503"/>
    <w:rsid w:val="00471823"/>
    <w:rsid w:val="00471D62"/>
    <w:rsid w:val="004B5166"/>
    <w:rsid w:val="004B7C68"/>
    <w:rsid w:val="00516BD3"/>
    <w:rsid w:val="0058312A"/>
    <w:rsid w:val="005A6D01"/>
    <w:rsid w:val="005D6861"/>
    <w:rsid w:val="006140A2"/>
    <w:rsid w:val="00654CBD"/>
    <w:rsid w:val="006726A1"/>
    <w:rsid w:val="006A27B7"/>
    <w:rsid w:val="006F48B8"/>
    <w:rsid w:val="00706BC0"/>
    <w:rsid w:val="00723A0B"/>
    <w:rsid w:val="00725FF5"/>
    <w:rsid w:val="007275DF"/>
    <w:rsid w:val="00764E63"/>
    <w:rsid w:val="00780A7D"/>
    <w:rsid w:val="007C7003"/>
    <w:rsid w:val="007E1E11"/>
    <w:rsid w:val="00814BC6"/>
    <w:rsid w:val="008278C0"/>
    <w:rsid w:val="00866D70"/>
    <w:rsid w:val="00877E45"/>
    <w:rsid w:val="00897577"/>
    <w:rsid w:val="008A1F34"/>
    <w:rsid w:val="008A4052"/>
    <w:rsid w:val="008D1F7C"/>
    <w:rsid w:val="008D7B31"/>
    <w:rsid w:val="008F5EFB"/>
    <w:rsid w:val="00907285"/>
    <w:rsid w:val="00910F7E"/>
    <w:rsid w:val="00923140"/>
    <w:rsid w:val="00981ED6"/>
    <w:rsid w:val="00992D91"/>
    <w:rsid w:val="009A4333"/>
    <w:rsid w:val="009D24DE"/>
    <w:rsid w:val="00A32337"/>
    <w:rsid w:val="00A4490F"/>
    <w:rsid w:val="00A4763A"/>
    <w:rsid w:val="00A516B8"/>
    <w:rsid w:val="00A72FE9"/>
    <w:rsid w:val="00A8469C"/>
    <w:rsid w:val="00A90219"/>
    <w:rsid w:val="00AF2B0B"/>
    <w:rsid w:val="00B139F2"/>
    <w:rsid w:val="00B34A46"/>
    <w:rsid w:val="00B90331"/>
    <w:rsid w:val="00BB5C66"/>
    <w:rsid w:val="00BC3002"/>
    <w:rsid w:val="00BC405C"/>
    <w:rsid w:val="00BE34C2"/>
    <w:rsid w:val="00BF2C2D"/>
    <w:rsid w:val="00C15CA9"/>
    <w:rsid w:val="00C23264"/>
    <w:rsid w:val="00C63969"/>
    <w:rsid w:val="00C7117D"/>
    <w:rsid w:val="00C729D0"/>
    <w:rsid w:val="00C85D0F"/>
    <w:rsid w:val="00CC09D8"/>
    <w:rsid w:val="00D12F64"/>
    <w:rsid w:val="00D44718"/>
    <w:rsid w:val="00D63627"/>
    <w:rsid w:val="00D77774"/>
    <w:rsid w:val="00D90D37"/>
    <w:rsid w:val="00DF7943"/>
    <w:rsid w:val="00E26BCD"/>
    <w:rsid w:val="00E53167"/>
    <w:rsid w:val="00EA43FB"/>
    <w:rsid w:val="00EC05E9"/>
    <w:rsid w:val="00ED22B8"/>
    <w:rsid w:val="00EE0F79"/>
    <w:rsid w:val="00EF01FE"/>
    <w:rsid w:val="00F02A2C"/>
    <w:rsid w:val="00F26DE8"/>
    <w:rsid w:val="00F4455A"/>
    <w:rsid w:val="00F477DC"/>
    <w:rsid w:val="00F7050A"/>
    <w:rsid w:val="00F959BA"/>
    <w:rsid w:val="00FD05DA"/>
  </w:rsids>
  <w:docVars>
    <w:docVar w:name="DOCTYPEMNU" w:val="2"/>
    <w:docVar w:name="LastEditedSection" w:val=" 1"/>
    <w:docVar w:name="STATMNU" w:val=" 4"/>
    <w:docVar w:name="strDocTypeID" w:val="RD_Statements"/>
    <w:docVar w:name="strSubDir" w:val="1352"/>
    <w:docVar w:name="TXTLANGUE" w:val="EN"/>
    <w:docVar w:name="TXTLANGUEMIN" w:val="en"/>
    <w:docVar w:name="TXTNRB" w:val="0446/2026"/>
    <w:docVar w:name="TXTNRPE" w:val="780.315"/>
    <w:docVar w:name="TXTNRRSP" w:val="2026/2907"/>
    <w:docVar w:name="TXTPEorAP" w:val="PE"/>
    <w:docVar w:name="TXTROUTE" w:val="RE\1352055EN.docx"/>
    <w:docVar w:name="TXTTITLE" w:val="the 2026 undemocratic elections to the Russian State Duma and its implications on civil society"/>
    <w:docVar w:name="TXTVERSION" w:val="01-00"/>
  </w:docVars>
  <m:mathPr>
    <m:mathFont m:val="Cambria Math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5:chartTrackingRefBased/>
  <w15:docId w15:val="{E5B32743-6135-4120-9BB0-F362D65C4B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sk-SK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semiHidden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44718"/>
    <w:pPr>
      <w:widowControl w:val="0"/>
    </w:pPr>
    <w:rPr>
      <w:sz w:val="24"/>
    </w:rPr>
  </w:style>
  <w:style w:type="paragraph" w:styleId="Heading1">
    <w:name w:val="heading 1"/>
    <w:basedOn w:val="Normal"/>
    <w:next w:val="Normal"/>
    <w:semiHidden/>
    <w:qFormat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Heading2">
    <w:name w:val="heading 2"/>
    <w:basedOn w:val="Normal"/>
    <w:next w:val="Normal"/>
    <w:semiHidden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semiHidden/>
    <w:qFormat/>
    <w:pPr>
      <w:keepNext/>
      <w:spacing w:before="240" w:after="60"/>
      <w:outlineLvl w:val="2"/>
    </w:pPr>
    <w:rPr>
      <w:rFonts w:ascii="Arial" w:hAnsi="Arial"/>
    </w:rPr>
  </w:style>
  <w:style w:type="paragraph" w:styleId="Heading4">
    <w:name w:val="heading 4"/>
    <w:basedOn w:val="Normal"/>
    <w:next w:val="Normal"/>
    <w:semiHidden/>
    <w:qFormat/>
    <w:pPr>
      <w:keepNext/>
      <w:spacing w:before="240" w:after="60"/>
      <w:outlineLvl w:val="3"/>
    </w:pPr>
    <w:rPr>
      <w:rFonts w:ascii="Arial" w:hAnsi="Arial"/>
      <w:b/>
    </w:rPr>
  </w:style>
  <w:style w:type="paragraph" w:styleId="Heading5">
    <w:name w:val="heading 5"/>
    <w:basedOn w:val="Normal"/>
    <w:next w:val="Normal"/>
    <w:semiHidden/>
    <w:qFormat/>
    <w:pPr>
      <w:spacing w:before="240" w:after="60"/>
      <w:outlineLvl w:val="4"/>
    </w:pPr>
    <w:rPr>
      <w:sz w:val="22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basedOn w:val="DefaultParagraphFont"/>
    <w:rPr>
      <w:rFonts w:ascii="Arial" w:hAnsi="Arial" w:cs="Arial"/>
      <w:noProof/>
      <w:vanish/>
      <w:color w:val="000080"/>
      <w:sz w:val="20"/>
    </w:rPr>
  </w:style>
  <w:style w:type="paragraph" w:customStyle="1" w:styleId="EPFooter2">
    <w:name w:val="EPFooter2"/>
    <w:basedOn w:val="Normal"/>
    <w:next w:val="Normal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EPComma">
    <w:name w:val="EPComma"/>
    <w:basedOn w:val="Normal"/>
    <w:rsid w:val="00DF7943"/>
    <w:pPr>
      <w:spacing w:before="480" w:after="240"/>
    </w:pPr>
  </w:style>
  <w:style w:type="paragraph" w:styleId="TOC1">
    <w:name w:val="toc 1"/>
    <w:basedOn w:val="EPComma"/>
    <w:next w:val="EPComma"/>
    <w:autoRedefine/>
    <w:semiHidden/>
  </w:style>
  <w:style w:type="paragraph" w:styleId="TOCHeading">
    <w:name w:val="TOC Heading"/>
    <w:basedOn w:val="Normal"/>
    <w:next w:val="Normal"/>
    <w:semiHidden/>
    <w:qFormat/>
    <w:pPr>
      <w:keepNext/>
      <w:spacing w:before="240" w:after="240"/>
      <w:jc w:val="center"/>
    </w:pPr>
    <w:rPr>
      <w:rFonts w:ascii="Arial" w:hAnsi="Arial"/>
      <w:b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NormalBold">
    <w:name w:val="NormalBold"/>
    <w:basedOn w:val="Normal"/>
    <w:rPr>
      <w:b/>
    </w:rPr>
  </w:style>
  <w:style w:type="paragraph" w:customStyle="1" w:styleId="NormalBold12a">
    <w:name w:val="NormalBold12a"/>
    <w:basedOn w:val="Normal"/>
    <w:pPr>
      <w:spacing w:after="240"/>
    </w:pPr>
    <w:rPr>
      <w:b/>
    </w:rPr>
  </w:style>
  <w:style w:type="paragraph" w:customStyle="1" w:styleId="NormalHanging12a">
    <w:name w:val="NormalHanging12a"/>
    <w:basedOn w:val="Normal"/>
    <w:link w:val="NormalHanging12aChar"/>
    <w:pPr>
      <w:spacing w:after="240"/>
      <w:ind w:left="567" w:hanging="567"/>
    </w:pPr>
  </w:style>
  <w:style w:type="paragraph" w:customStyle="1" w:styleId="CoverBold">
    <w:name w:val="CoverBold"/>
    <w:basedOn w:val="Normal"/>
    <w:rsid w:val="00B90331"/>
    <w:pPr>
      <w:ind w:left="1417"/>
    </w:pPr>
    <w:rPr>
      <w:b/>
    </w:rPr>
  </w:style>
  <w:style w:type="paragraph" w:customStyle="1" w:styleId="CoverNormal">
    <w:name w:val="CoverNormal"/>
    <w:basedOn w:val="Normal"/>
    <w:pPr>
      <w:ind w:left="1418"/>
    </w:pPr>
  </w:style>
  <w:style w:type="paragraph" w:customStyle="1" w:styleId="CoverNormal12a">
    <w:name w:val="CoverNormal12a"/>
    <w:basedOn w:val="Normal"/>
    <w:rsid w:val="00B90331"/>
    <w:pPr>
      <w:spacing w:after="240"/>
      <w:ind w:left="1418"/>
    </w:pPr>
  </w:style>
  <w:style w:type="paragraph" w:customStyle="1" w:styleId="CoverNormal24a">
    <w:name w:val="CoverNormal24a"/>
    <w:basedOn w:val="Normal"/>
    <w:rsid w:val="00B90331"/>
    <w:pPr>
      <w:spacing w:after="480"/>
      <w:ind w:left="1417"/>
    </w:pPr>
  </w:style>
  <w:style w:type="paragraph" w:customStyle="1" w:styleId="CoverDocType24a">
    <w:name w:val="CoverDocType24a"/>
    <w:basedOn w:val="Normal"/>
    <w:rsid w:val="00EC05E9"/>
    <w:pPr>
      <w:spacing w:after="480"/>
      <w:ind w:left="1418"/>
    </w:pPr>
    <w:rPr>
      <w:rFonts w:ascii="Arial" w:hAnsi="Arial"/>
      <w:b/>
      <w:sz w:val="48"/>
    </w:rPr>
  </w:style>
  <w:style w:type="paragraph" w:styleId="Header">
    <w:name w:val="header"/>
    <w:basedOn w:val="Normal"/>
    <w:link w:val="HeaderChar"/>
    <w:semiHidden/>
    <w:rsid w:val="007E1E11"/>
    <w:pPr>
      <w:tabs>
        <w:tab w:val="center" w:pos="4513"/>
        <w:tab w:val="right" w:pos="9026"/>
      </w:tabs>
    </w:pPr>
  </w:style>
  <w:style w:type="table" w:styleId="TableGrid">
    <w:name w:val="Table Grid"/>
    <w:basedOn w:val="TableNormal"/>
    <w:rsid w:val="00E5316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">
    <w:name w:val="EPBody"/>
    <w:basedOn w:val="Normal"/>
    <w:rsid w:val="00E53167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LineTop">
    <w:name w:val="LineTop"/>
    <w:basedOn w:val="Normal"/>
    <w:next w:val="Normal"/>
    <w:rsid w:val="00E53167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094DDA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EPName">
    <w:name w:val="EPName"/>
    <w:basedOn w:val="Normal"/>
    <w:rsid w:val="00706BC0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06BC0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06BC0"/>
    <w:pPr>
      <w:jc w:val="right"/>
    </w:pPr>
  </w:style>
  <w:style w:type="paragraph" w:customStyle="1" w:styleId="CoverReference">
    <w:name w:val="CoverReference"/>
    <w:basedOn w:val="Normal"/>
    <w:rsid w:val="00094DDA"/>
    <w:pPr>
      <w:spacing w:before="1080"/>
      <w:jc w:val="right"/>
    </w:pPr>
    <w:rPr>
      <w:rFonts w:ascii="Arial" w:hAnsi="Arial" w:cs="Arial"/>
      <w:b/>
    </w:rPr>
  </w:style>
  <w:style w:type="paragraph" w:customStyle="1" w:styleId="CoverDate">
    <w:name w:val="CoverDate"/>
    <w:basedOn w:val="Normal"/>
    <w:rsid w:val="00094DDA"/>
    <w:pPr>
      <w:spacing w:before="240" w:after="1200"/>
    </w:pPr>
  </w:style>
  <w:style w:type="paragraph" w:customStyle="1" w:styleId="EPFooter">
    <w:name w:val="EPFooter"/>
    <w:basedOn w:val="Normal"/>
    <w:rsid w:val="00EC05E9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character" w:customStyle="1" w:styleId="HeaderChar">
    <w:name w:val="Header Char"/>
    <w:basedOn w:val="DefaultParagraphFont"/>
    <w:link w:val="Header"/>
    <w:semiHidden/>
    <w:rsid w:val="007E1E11"/>
    <w:rPr>
      <w:sz w:val="24"/>
    </w:rPr>
  </w:style>
  <w:style w:type="paragraph" w:styleId="Footer">
    <w:name w:val="footer"/>
    <w:basedOn w:val="Normal"/>
    <w:link w:val="FooterChar"/>
    <w:semiHidden/>
    <w:rsid w:val="00D63627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semiHidden/>
    <w:rsid w:val="00D63627"/>
    <w:rPr>
      <w:sz w:val="24"/>
    </w:rPr>
  </w:style>
  <w:style w:type="character" w:styleId="CommentReference">
    <w:name w:val="annotation reference"/>
    <w:basedOn w:val="DefaultParagraphFont"/>
    <w:rsid w:val="00992D91"/>
    <w:rPr>
      <w:sz w:val="16"/>
      <w:szCs w:val="16"/>
    </w:rPr>
  </w:style>
  <w:style w:type="paragraph" w:styleId="CommentText">
    <w:name w:val="annotation text"/>
    <w:basedOn w:val="Normal"/>
    <w:link w:val="CommentTextChar"/>
    <w:rsid w:val="00992D91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992D91"/>
  </w:style>
  <w:style w:type="character" w:customStyle="1" w:styleId="NormalHanging12aChar">
    <w:name w:val="NormalHanging12a Char"/>
    <w:basedOn w:val="DefaultParagraphFont"/>
    <w:link w:val="NormalHanging12a"/>
    <w:rsid w:val="00992D91"/>
    <w:rPr>
      <w:sz w:val="24"/>
    </w:rPr>
  </w:style>
  <w:style w:type="paragraph" w:styleId="Revision">
    <w:name w:val="Revision"/>
    <w:hidden/>
    <w:uiPriority w:val="99"/>
    <w:semiHidden/>
    <w:rsid w:val="006140A2"/>
    <w:rPr>
      <w:sz w:val="24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6140A2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6140A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3.xml" /><Relationship Id="rId11" Type="http://schemas.openxmlformats.org/officeDocument/2006/relationships/theme" Target="theme/theme1.xml" /><Relationship Id="rId12" Type="http://schemas.openxmlformats.org/officeDocument/2006/relationships/numbering" Target="numbering.xml" /><Relationship Id="rId13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header" Target="header2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header" Target="header3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1858</Words>
  <Characters>12046</Characters>
  <Application>Microsoft Office Word</Application>
  <DocSecurity>0</DocSecurity>
  <Lines>200</Lines>
  <Paragraphs>55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RD_Statements</vt:lpstr>
    </vt:vector>
  </TitlesOfParts>
  <Company/>
  <LinksUpToDate>false</LinksUpToDate>
  <CharactersWithSpaces>13859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RD_Statements</dc:title>
  <dc:creator>European Parliament</dc:creator>
  <cp:lastModifiedBy>European Parliament</cp:lastModifiedBy>
  <cp:revision>2</cp:revision>
  <cp:lastPrinted>2026-10-06T08:40:00Z</cp:lastPrinted>
  <dcterms:created xsi:type="dcterms:W3CDTF">2026-10-07T13:11:00Z</dcterms:created>
  <dcterms:modified xsi:type="dcterms:W3CDTF">2026-10-07T13:11:00Z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SK</vt:lpwstr>
  </property>
  <property fmtid="{D5CDD505-2E9C-101B-9397-08002B2CF9AE}" pid="3" name="&lt;FdR&gt;">
    <vt:lpwstr>1352055</vt:lpwstr>
  </property>
  <property fmtid="{D5CDD505-2E9C-101B-9397-08002B2CF9AE}" pid="4" name="&lt;Model&gt;">
    <vt:lpwstr>RD_Statements</vt:lpwstr>
  </property>
  <property fmtid="{D5CDD505-2E9C-101B-9397-08002B2CF9AE}" pid="5" name="&lt;ModelCod&gt;">
    <vt:lpwstr>\\eiciBRUpr1\pdocep$\DocEP\DOCS\General\RD\\RD_Statements.dotx(11/04/2022 09:43:13)</vt:lpwstr>
  </property>
  <property fmtid="{D5CDD505-2E9C-101B-9397-08002B2CF9AE}" pid="6" name="&lt;ModelTra&gt;">
    <vt:lpwstr>\\eiciBRUpr1\pdocep$\DocEP\TRANSFIL\EN\RD_Statements.EN(06/03/2026 11:03:04)</vt:lpwstr>
  </property>
  <property fmtid="{D5CDD505-2E9C-101B-9397-08002B2CF9AE}" pid="7" name="&lt;Type&gt;">
    <vt:lpwstr>RE</vt:lpwstr>
  </property>
  <property fmtid="{D5CDD505-2E9C-101B-9397-08002B2CF9AE}" pid="8" name="Bookout">
    <vt:lpwstr>OK - 2026/10/07 15:11</vt:lpwstr>
  </property>
  <property fmtid="{D5CDD505-2E9C-101B-9397-08002B2CF9AE}" pid="9" name="Created with">
    <vt:lpwstr>10.3.1 Build [20260902]</vt:lpwstr>
  </property>
  <property fmtid="{D5CDD505-2E9C-101B-9397-08002B2CF9AE}" pid="10" name="FooterPath">
    <vt:lpwstr>RE\1352055SK.docx</vt:lpwstr>
  </property>
  <property fmtid="{D5CDD505-2E9C-101B-9397-08002B2CF9AE}" pid="11" name="LastEdited with">
    <vt:lpwstr>10.3.1 Build [20260902]</vt:lpwstr>
  </property>
  <property fmtid="{D5CDD505-2E9C-101B-9397-08002B2CF9AE}" pid="12" name="PE number">
    <vt:lpwstr>780.315</vt:lpwstr>
  </property>
  <property fmtid="{D5CDD505-2E9C-101B-9397-08002B2CF9AE}" pid="13" name="RegistreCheck">
    <vt:lpwstr>OK</vt:lpwstr>
  </property>
  <property fmtid="{D5CDD505-2E9C-101B-9397-08002B2CF9AE}" pid="14" name="SDLStudio">
    <vt:lpwstr/>
  </property>
</Properties>
</file>