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49D50EE" w14:textId="77777777" w:rsidTr="00C85D0F">
        <w:tblPrEx>
          <w:tblW w:w="9072" w:type="dxa"/>
          <w:tblCellMar>
            <w:left w:w="0" w:type="dxa"/>
            <w:right w:w="0" w:type="dxa"/>
          </w:tblCellMar>
          <w:tblLook w:val="01E0"/>
        </w:tblPrEx>
        <w:trPr>
          <w:trHeight w:hRule="exact" w:val="1418"/>
        </w:trPr>
        <w:tc>
          <w:tcPr>
            <w:tcW w:w="6804" w:type="dxa"/>
            <w:vAlign w:val="center"/>
          </w:tcPr>
          <w:p w:rsidR="0037154C" w:rsidRPr="0018379A" w:rsidP="00C85D0F" w14:paraId="24019418" w14:textId="2031DD60">
            <w:pPr>
              <w:pStyle w:val="EPName"/>
            </w:pPr>
            <w:r w:rsidRPr="0018379A">
              <w:t>European Parliament</w:t>
            </w:r>
          </w:p>
          <w:p w:rsidR="0037154C" w:rsidRPr="00E63C6A" w:rsidP="00C85D0F" w14:paraId="6B9B31E9" w14:textId="0470E772">
            <w:pPr>
              <w:pStyle w:val="EPTerm"/>
            </w:pPr>
            <w:r>
              <w:t>2024-2029</w:t>
            </w:r>
          </w:p>
        </w:tc>
        <w:tc>
          <w:tcPr>
            <w:tcW w:w="2268" w:type="dxa"/>
          </w:tcPr>
          <w:p w:rsidR="0037154C" w:rsidRPr="0018379A" w:rsidP="00C85D0F" w14:paraId="3BD6A5A4" w14:textId="77777777">
            <w:pPr>
              <w:pStyle w:val="EPLogo"/>
            </w:pPr>
            <w:r w:rsidRPr="0018379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33932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55F2B" w:rsidRPr="0018379A" w:rsidP="00155F2B" w14:paraId="123697D3" w14:textId="77777777">
      <w:pPr>
        <w:pStyle w:val="LineTop"/>
      </w:pPr>
    </w:p>
    <w:p w:rsidR="00155F2B" w:rsidRPr="0018379A" w:rsidP="00155F2B" w14:paraId="536B3991" w14:textId="7453C80E">
      <w:pPr>
        <w:pStyle w:val="EPBody"/>
      </w:pPr>
      <w:r w:rsidRPr="0018379A">
        <w:t>Plenary sitting</w:t>
      </w:r>
    </w:p>
    <w:p w:rsidR="00163C89" w:rsidRPr="0018379A" w:rsidP="00163C89" w14:paraId="538C4731" w14:textId="77777777">
      <w:pPr>
        <w:pStyle w:val="LineBottom"/>
      </w:pPr>
    </w:p>
    <w:p w:rsidR="00163C89" w:rsidRPr="0018379A" w:rsidP="00163C89" w14:paraId="479402A2" w14:textId="6150619B">
      <w:pPr>
        <w:pStyle w:val="CoverReference"/>
      </w:pPr>
      <w:r w:rsidRPr="0018379A">
        <w:rPr>
          <w:rStyle w:val="HideTWBExt"/>
          <w:b w:val="0"/>
        </w:rPr>
        <w:t>&lt;NoDocSe&gt;</w:t>
      </w:r>
      <w:r w:rsidR="00E63C6A">
        <w:t>B10</w:t>
      </w:r>
      <w:r w:rsidR="00E63C6A">
        <w:noBreakHyphen/>
      </w:r>
      <w:r w:rsidRPr="00E63C6A" w:rsidR="00E63C6A">
        <w:t>0447/2026</w:t>
      </w:r>
      <w:r w:rsidRPr="0018379A">
        <w:rPr>
          <w:rStyle w:val="HideTWBExt"/>
          <w:b w:val="0"/>
        </w:rPr>
        <w:t>&lt;/NoDocSe&gt;</w:t>
      </w:r>
    </w:p>
    <w:p w:rsidR="00163C89" w:rsidRPr="0018379A" w:rsidP="00163C89" w14:paraId="1435E6E8" w14:textId="1DDBC0AA">
      <w:pPr>
        <w:pStyle w:val="CoverDate"/>
      </w:pPr>
      <w:r w:rsidRPr="0018379A">
        <w:rPr>
          <w:rStyle w:val="HideTWBExt"/>
        </w:rPr>
        <w:t>&lt;Date&gt;</w:t>
      </w:r>
      <w:r w:rsidRPr="00E63C6A" w:rsidR="00E63C6A">
        <w:rPr>
          <w:rStyle w:val="HideTWBInt"/>
        </w:rPr>
        <w:t>{06/10/2026}</w:t>
      </w:r>
      <w:r w:rsidR="00E63C6A">
        <w:t>6.10.2026</w:t>
      </w:r>
      <w:r w:rsidRPr="0018379A">
        <w:rPr>
          <w:rStyle w:val="HideTWBExt"/>
        </w:rPr>
        <w:t>&lt;/Date&gt;</w:t>
      </w:r>
    </w:p>
    <w:p w:rsidR="00221528" w:rsidRPr="0018379A" w14:paraId="72E814E4" w14:textId="4FEC3F9F">
      <w:pPr>
        <w:pStyle w:val="CoverDocType24a"/>
      </w:pPr>
      <w:r w:rsidRPr="0018379A">
        <w:rPr>
          <w:rStyle w:val="HideTWBExt"/>
          <w:b w:val="0"/>
        </w:rPr>
        <w:t>&lt;TitreType&gt;</w:t>
      </w:r>
      <w:r w:rsidRPr="0018379A" w:rsidR="0018379A">
        <w:t>MOTION FOR A RESOLUTION</w:t>
      </w:r>
      <w:r w:rsidRPr="0018379A">
        <w:rPr>
          <w:rStyle w:val="HideTWBExt"/>
          <w:b w:val="0"/>
        </w:rPr>
        <w:t>&lt;/TitreType&gt;</w:t>
      </w:r>
    </w:p>
    <w:p w:rsidR="00221528" w:rsidRPr="0018379A" w14:paraId="4C765B06" w14:textId="151C9602">
      <w:pPr>
        <w:pStyle w:val="CoverNormal12a"/>
      </w:pPr>
      <w:r w:rsidRPr="0018379A">
        <w:rPr>
          <w:rStyle w:val="HideTWBExt"/>
        </w:rPr>
        <w:t>&lt;TitreSuite&gt;</w:t>
      </w:r>
      <w:r w:rsidRPr="0018379A" w:rsidR="0018379A">
        <w:t>with request for inclusion in the agenda for a debate on cases of breaches of human rights, democracy and the rule of law</w:t>
      </w:r>
      <w:r w:rsidRPr="0018379A">
        <w:rPr>
          <w:rStyle w:val="HideTWBExt"/>
        </w:rPr>
        <w:t>&lt;/TitreSuite&gt;</w:t>
      </w:r>
    </w:p>
    <w:p w:rsidR="00221528" w:rsidRPr="0018379A" w14:paraId="738EDA1B" w14:textId="76C66DFF">
      <w:pPr>
        <w:pStyle w:val="CoverNormal12a"/>
      </w:pPr>
      <w:r w:rsidRPr="0018379A">
        <w:rPr>
          <w:rStyle w:val="HideTWBExt"/>
        </w:rPr>
        <w:t>&lt;TitreRecueil&gt;</w:t>
      </w:r>
      <w:r w:rsidRPr="0018379A" w:rsidR="0018379A">
        <w:t>pursuant to Rule 150 of the Rules of Procedure</w:t>
      </w:r>
      <w:r w:rsidRPr="0018379A">
        <w:rPr>
          <w:rStyle w:val="HideTWBExt"/>
        </w:rPr>
        <w:t>&lt;/TitreRecueil&gt;</w:t>
      </w:r>
    </w:p>
    <w:p w:rsidR="002B315F" w:rsidRPr="0018379A" w:rsidP="002B315F" w14:paraId="4A523159" w14:textId="4045BBA8">
      <w:pPr>
        <w:pStyle w:val="CoverNormal"/>
      </w:pPr>
      <w:r w:rsidRPr="0018379A">
        <w:rPr>
          <w:rStyle w:val="HideTWBExt"/>
        </w:rPr>
        <w:t>&lt;Titre&gt;</w:t>
      </w:r>
      <w:r w:rsidR="00E63C6A">
        <w:t xml:space="preserve">on </w:t>
      </w:r>
      <w:r w:rsidRPr="00E63C6A" w:rsidR="00E63C6A">
        <w:t>attempts by the ruling party Georgian Dream to ban opposition parties in Georgia</w:t>
      </w:r>
      <w:r w:rsidRPr="0018379A">
        <w:rPr>
          <w:rStyle w:val="HideTWBExt"/>
        </w:rPr>
        <w:t>&lt;/Titre&gt;</w:t>
      </w:r>
    </w:p>
    <w:p w:rsidR="002B315F" w:rsidRPr="0018379A" w:rsidP="002B315F" w14:paraId="4E3C00C4" w14:textId="7BECEAF8">
      <w:pPr>
        <w:pStyle w:val="CoverNormal24a"/>
      </w:pPr>
      <w:r w:rsidRPr="0018379A">
        <w:rPr>
          <w:rStyle w:val="HideTWBExt"/>
        </w:rPr>
        <w:t>&lt;DocRef&gt;</w:t>
      </w:r>
      <w:r w:rsidRPr="0018379A" w:rsidR="0018379A">
        <w:t>(</w:t>
      </w:r>
      <w:r w:rsidRPr="00E63C6A" w:rsidR="00E63C6A">
        <w:t>2026/2913</w:t>
      </w:r>
      <w:r w:rsidRPr="0018379A" w:rsidR="0018379A">
        <w:t>(RSP))</w:t>
      </w:r>
      <w:r w:rsidRPr="0018379A">
        <w:rPr>
          <w:rStyle w:val="HideTWBExt"/>
        </w:rPr>
        <w:t>&lt;/DocRef&gt;</w:t>
      </w:r>
    </w:p>
    <w:p w:rsidR="00D94703" w:rsidRPr="00E63C6A" w:rsidP="00D94703" w14:paraId="6EF64C72" w14:textId="15726F7B">
      <w:pPr>
        <w:pStyle w:val="CoverBold"/>
      </w:pPr>
      <w:r w:rsidRPr="0018379A">
        <w:rPr>
          <w:rStyle w:val="HideTWBExt"/>
          <w:b w:val="0"/>
        </w:rPr>
        <w:t>&lt;RepeatBlock-By&gt;&lt;Depute&gt;</w:t>
      </w:r>
      <w:r w:rsidR="00E63C6A">
        <w:t xml:space="preserve">Tomasz Froelich, </w:t>
      </w:r>
      <w:r w:rsidR="00E63C6A">
        <w:t>Alexander Sell, Petr Bystron</w:t>
      </w:r>
      <w:r w:rsidRPr="00E63C6A" w:rsidR="00E63C6A">
        <w:rPr>
          <w:rStyle w:val="HideTWBExt"/>
          <w:b w:val="0"/>
          <w:color w:val="auto"/>
        </w:rPr>
        <w:t xml:space="preserve"> </w:t>
      </w:r>
      <w:r w:rsidRPr="00E63C6A">
        <w:rPr>
          <w:rStyle w:val="HideTWBExt"/>
          <w:b w:val="0"/>
          <w:color w:val="auto"/>
        </w:rPr>
        <w:t>&lt;/Depute&gt;</w:t>
      </w:r>
    </w:p>
    <w:p w:rsidR="00D94703" w:rsidRPr="0018379A" w:rsidP="00D94703" w14:paraId="79DFAB2B" w14:textId="05E41480">
      <w:pPr>
        <w:pStyle w:val="CoverNormal"/>
      </w:pPr>
      <w:r w:rsidRPr="0018379A">
        <w:rPr>
          <w:rStyle w:val="HideTWBExt"/>
        </w:rPr>
        <w:t>&lt;Commission&gt;</w:t>
      </w:r>
      <w:r w:rsidRPr="00E63C6A" w:rsidR="00E63C6A">
        <w:rPr>
          <w:rStyle w:val="HideTWBInt"/>
        </w:rPr>
        <w:t>{ESN}</w:t>
      </w:r>
      <w:r w:rsidR="00E63C6A">
        <w:t>on behalf of the ESN Group</w:t>
      </w:r>
      <w:r w:rsidRPr="0018379A">
        <w:rPr>
          <w:rStyle w:val="HideTWBExt"/>
        </w:rPr>
        <w:t>&lt;/Commission&gt;</w:t>
      </w:r>
    </w:p>
    <w:p w:rsidR="00D94703" w:rsidRPr="0018379A" w:rsidP="00D94703" w14:paraId="14B69745" w14:textId="64326313">
      <w:pPr>
        <w:pStyle w:val="CoverNormal"/>
      </w:pPr>
      <w:r w:rsidRPr="0018379A">
        <w:rPr>
          <w:rStyle w:val="HideTWBExt"/>
        </w:rPr>
        <w:t>&lt;/RepeatBlock-By&gt;</w:t>
      </w:r>
    </w:p>
    <w:p w:rsidR="00221528" w:rsidRPr="0018379A" w14:paraId="3BD5F547" w14:textId="262EC889">
      <w:pPr>
        <w:pStyle w:val="NormalBold12a"/>
      </w:pPr>
      <w:r w:rsidRPr="0018379A">
        <w:br w:type="page"/>
      </w:r>
      <w:r w:rsidR="00E63C6A">
        <w:t>B10</w:t>
      </w:r>
      <w:r w:rsidR="00E63C6A">
        <w:noBreakHyphen/>
      </w:r>
      <w:r w:rsidRPr="00E63C6A" w:rsidR="00E63C6A">
        <w:t>0447/2026</w:t>
      </w:r>
    </w:p>
    <w:p w:rsidR="002B315F" w:rsidRPr="0018379A" w:rsidP="002B315F" w14:paraId="1A2F7C03" w14:textId="459CEB23">
      <w:pPr>
        <w:pStyle w:val="NormalBold"/>
      </w:pPr>
      <w:r w:rsidRPr="0018379A">
        <w:t xml:space="preserve">European Parliament resolution on </w:t>
      </w:r>
      <w:r w:rsidRPr="00E63C6A" w:rsidR="00E63C6A">
        <w:t>attempts by the ruling party Georgian Dream to ban opposition parties in Georgia</w:t>
      </w:r>
    </w:p>
    <w:p w:rsidR="002B315F" w:rsidRPr="0018379A" w:rsidP="0029017B" w14:paraId="2AB5430D" w14:textId="63D670A4">
      <w:pPr>
        <w:pStyle w:val="NormalBold"/>
      </w:pPr>
      <w:r w:rsidRPr="0018379A">
        <w:t>(</w:t>
      </w:r>
      <w:r w:rsidRPr="00E63C6A" w:rsidR="00E63C6A">
        <w:t>2026/2913</w:t>
      </w:r>
      <w:r w:rsidRPr="0018379A">
        <w:t>(RSP))</w:t>
      </w:r>
    </w:p>
    <w:p w:rsidR="00DE2325" w:rsidRPr="0018379A" w:rsidP="0029017B" w14:paraId="06DA19E6" w14:textId="45F3E208">
      <w:pPr>
        <w:pStyle w:val="EPComma"/>
      </w:pPr>
      <w:r w:rsidRPr="0018379A">
        <w:rPr>
          <w:i/>
        </w:rPr>
        <w:t>The European Parliament</w:t>
      </w:r>
      <w:r w:rsidRPr="0018379A">
        <w:t>,</w:t>
      </w:r>
    </w:p>
    <w:p w:rsidR="00E63C6A" w:rsidP="00E63C6A" w14:paraId="1E5945D4"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567" w:hanging="567"/>
      </w:pPr>
      <w:r>
        <w:t>–</w:t>
      </w:r>
      <w:r>
        <w:tab/>
        <w:t>having regard to Rule 150 (5) of its Rules of Procedure,</w:t>
      </w:r>
    </w:p>
    <w:p w:rsidR="00E63C6A" w:rsidRPr="007F1E14" w:rsidP="00E63C6A" w14:paraId="61D89DA5"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57308EE6" w14:textId="3112E890">
      <w:pPr>
        <w:pStyle w:val="ListParagraph"/>
        <w:numPr>
          <w:ilvl w:val="0"/>
          <w:numId w:val="41"/>
        </w:numPr>
        <w:tabs>
          <w:tab w:val="left" w:pos="-1104"/>
          <w:tab w:val="left" w:pos="360"/>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r w:rsidRPr="00851A6C">
        <w:t>whereas Georgia’s ruling Georgian Dream party has filed proceedings before the Constitutional Court seeking to ban several major opposition parties, accusing them of</w:t>
      </w:r>
      <w:r>
        <w:t xml:space="preserve"> </w:t>
      </w:r>
      <w:r w:rsidRPr="00851A6C">
        <w:t>“r</w:t>
      </w:r>
      <w:r>
        <w:t>epeatedly undermining the legitimacy of the government and acting against the state’s</w:t>
      </w:r>
      <w:r w:rsidRPr="00E63C6A">
        <w:rPr>
          <w:spacing w:val="-2"/>
        </w:rPr>
        <w:t xml:space="preserve"> constitutional order”;</w:t>
      </w:r>
    </w:p>
    <w:p w:rsidR="00E63C6A" w:rsidP="00E63C6A" w14:paraId="7CE6F45A"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567" w:hanging="567"/>
      </w:pPr>
    </w:p>
    <w:p w:rsidR="00E63C6A" w:rsidP="00E63C6A" w14:paraId="5A4ABB85" w14:textId="563E69F8">
      <w:pPr>
        <w:pStyle w:val="ListParagraph"/>
        <w:numPr>
          <w:ilvl w:val="0"/>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pPr>
      <w:r>
        <w:t>whereas the lawsuit takes place against the backdrop of a broader political crisis since 2024, marked by street protests, contested elections and mutual accusations of attempts to over-throw the constitutional order;</w:t>
      </w:r>
    </w:p>
    <w:p w:rsidR="00E63C6A" w:rsidP="00E63C6A" w14:paraId="0008CFE3"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567" w:hanging="567"/>
      </w:pPr>
    </w:p>
    <w:p w:rsidR="00E63C6A" w:rsidP="00E63C6A" w14:paraId="64F3DB7F" w14:textId="588335D9">
      <w:pPr>
        <w:pStyle w:val="ListParagraph"/>
        <w:numPr>
          <w:ilvl w:val="0"/>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pPr>
      <w:r>
        <w:t>whereas the 2025 Chandler Good Government index ranks Georgia 26</w:t>
      </w:r>
      <w:r w:rsidRPr="00E63C6A">
        <w:rPr>
          <w:vertAlign w:val="superscript"/>
        </w:rPr>
        <w:t>th</w:t>
      </w:r>
      <w:r>
        <w:t xml:space="preserve"> in the world in the assessment of its judicial system, government transparency, and the rule of law, also </w:t>
      </w:r>
    </w:p>
    <w:p w:rsidR="00E63C6A" w:rsidP="00E63C6A" w14:paraId="7A387C83" w14:textId="1D918AB7">
      <w:pPr>
        <w:pStyle w:val="ListParagraph"/>
        <w:numPr>
          <w:ilvl w:val="0"/>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pPr>
      <w:r>
        <w:t>outranking 14 EU Member States; whereas judicial system quality is also measured in terms</w:t>
      </w:r>
      <w:r>
        <w:t xml:space="preserve"> </w:t>
      </w:r>
      <w:r>
        <w:t xml:space="preserve">of independence of judiciary; </w:t>
      </w:r>
    </w:p>
    <w:p w:rsidR="00E63C6A" w:rsidP="00E63C6A" w14:paraId="640DA493"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26DEAFC7" w14:textId="5953F50A">
      <w:pPr>
        <w:pStyle w:val="ListParagraph"/>
        <w:numPr>
          <w:ilvl w:val="0"/>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r w:rsidRPr="00E63C6A">
        <w:rPr>
          <w:spacing w:val="-2"/>
        </w:rPr>
        <w:t>whereas justifications and procedures for political party bans vary among EU Member States</w:t>
      </w:r>
      <w:r w:rsidRPr="00E63C6A">
        <w:rPr>
          <w:spacing w:val="-2"/>
        </w:rPr>
        <w:t xml:space="preserve"> </w:t>
      </w:r>
      <w:r w:rsidRPr="00E63C6A">
        <w:rPr>
          <w:spacing w:val="-2"/>
        </w:rPr>
        <w:t>because of different constitutional traditions, historical developments and the unique social and</w:t>
      </w:r>
      <w:r w:rsidRPr="00E63C6A">
        <w:rPr>
          <w:spacing w:val="-2"/>
        </w:rPr>
        <w:t xml:space="preserve"> </w:t>
      </w:r>
      <w:r w:rsidRPr="00E63C6A">
        <w:rPr>
          <w:spacing w:val="-2"/>
        </w:rPr>
        <w:t>political conditions of each Member State;</w:t>
      </w:r>
    </w:p>
    <w:p w:rsidR="00E63C6A" w:rsidP="00E63C6A" w14:paraId="480A23C8"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420575C6" w14:textId="66A572C3">
      <w:pPr>
        <w:pStyle w:val="ListParagraph"/>
        <w:numPr>
          <w:ilvl w:val="0"/>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r w:rsidRPr="00E63C6A">
        <w:rPr>
          <w:spacing w:val="-2"/>
        </w:rPr>
        <w:t xml:space="preserve">whereas in July 2026 the European Parliament backed the process to deregister and defund the European Europe of Sovereign Nations (ESN) political party for an alleged breach of EU values, following a request from the Authority for European Political Parties and European Political Foundations (APPF); </w:t>
      </w:r>
    </w:p>
    <w:p w:rsidR="00E63C6A" w:rsidP="00E63C6A" w14:paraId="09233A6B"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63A68241" w14:textId="20EDE645">
      <w:pPr>
        <w:pStyle w:val="ListParagraph"/>
        <w:numPr>
          <w:ilvl w:val="1"/>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360"/>
        <w:rPr>
          <w:spacing w:val="-2"/>
        </w:rPr>
      </w:pPr>
      <w:r w:rsidRPr="00E63C6A">
        <w:rPr>
          <w:spacing w:val="-2"/>
        </w:rPr>
        <w:t>Takes note of the constitutional lawsuit of Georgian Dream against United National Movement, Ahal/Coalition for Change, Lelo/Strong Georgia, Federalists and Gakharia for</w:t>
      </w:r>
      <w:r w:rsidRPr="00E63C6A">
        <w:rPr>
          <w:spacing w:val="-2"/>
        </w:rPr>
        <w:t xml:space="preserve"> </w:t>
      </w:r>
      <w:r w:rsidRPr="00E63C6A">
        <w:rPr>
          <w:spacing w:val="-2"/>
        </w:rPr>
        <w:t>Georgia;</w:t>
      </w:r>
    </w:p>
    <w:p w:rsidR="00E63C6A" w:rsidP="00E63C6A" w14:paraId="05DFD1D5"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611EB667" w14:textId="76F12ED4">
      <w:pPr>
        <w:pStyle w:val="ListParagraph"/>
        <w:numPr>
          <w:ilvl w:val="1"/>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360"/>
        <w:rPr>
          <w:spacing w:val="-2"/>
        </w:rPr>
      </w:pPr>
      <w:r w:rsidRPr="00E63C6A">
        <w:rPr>
          <w:spacing w:val="-2"/>
        </w:rPr>
        <w:t>Notes the continuing dispute over the electoral process; encourages all political actors to pursue their objectives through peaceful democratic means;</w:t>
      </w:r>
    </w:p>
    <w:p w:rsidR="00E63C6A" w:rsidP="00E63C6A" w14:paraId="72488407"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160C0B0F" w14:textId="066372A0">
      <w:pPr>
        <w:pStyle w:val="ListParagraph"/>
        <w:numPr>
          <w:ilvl w:val="1"/>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360"/>
        <w:rPr>
          <w:spacing w:val="-2"/>
        </w:rPr>
      </w:pPr>
      <w:r w:rsidRPr="00E63C6A">
        <w:rPr>
          <w:spacing w:val="-2"/>
        </w:rPr>
        <w:t>Rejects attempts to seize power through violent means, irrespective of their political origin;</w:t>
      </w:r>
      <w:r w:rsidRPr="00E63C6A">
        <w:rPr>
          <w:spacing w:val="-2"/>
        </w:rPr>
        <w:t xml:space="preserve"> </w:t>
      </w:r>
      <w:r w:rsidRPr="00E63C6A">
        <w:rPr>
          <w:spacing w:val="-2"/>
        </w:rPr>
        <w:t>reaffirms the rights to peaceful assembly, political opposition and lawful electoral challenge;</w:t>
      </w:r>
      <w:r w:rsidRPr="00E63C6A">
        <w:rPr>
          <w:spacing w:val="-2"/>
        </w:rPr>
        <w:t xml:space="preserve"> </w:t>
      </w:r>
      <w:r w:rsidRPr="00E63C6A">
        <w:rPr>
          <w:spacing w:val="-2"/>
        </w:rPr>
        <w:t>stresses that peaceful protest, election boycotts or criticism of the government do not, in</w:t>
      </w:r>
      <w:r w:rsidRPr="00E63C6A">
        <w:rPr>
          <w:spacing w:val="-2"/>
        </w:rPr>
        <w:t xml:space="preserve"> </w:t>
      </w:r>
      <w:r w:rsidRPr="00E63C6A">
        <w:rPr>
          <w:spacing w:val="-2"/>
        </w:rPr>
        <w:t xml:space="preserve">themselves, justify the prohibition of a political party; </w:t>
      </w:r>
    </w:p>
    <w:p w:rsidR="00E63C6A" w:rsidP="00E63C6A" w14:paraId="67110195"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4A27979B" w14:textId="18057320">
      <w:pPr>
        <w:pStyle w:val="ListParagraph"/>
        <w:numPr>
          <w:ilvl w:val="1"/>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360"/>
        <w:rPr>
          <w:spacing w:val="-2"/>
        </w:rPr>
      </w:pPr>
      <w:r w:rsidRPr="00E63C6A">
        <w:rPr>
          <w:spacing w:val="-2"/>
        </w:rPr>
        <w:t>Reaffirms that political pluralism is essential to democracy and that the prohibition of a political party must remain an exceptional measure of last resort, based on compelling evidence</w:t>
      </w:r>
      <w:r w:rsidRPr="00E63C6A">
        <w:rPr>
          <w:spacing w:val="-2"/>
        </w:rPr>
        <w:t xml:space="preserve"> </w:t>
      </w:r>
      <w:r w:rsidRPr="00E63C6A">
        <w:rPr>
          <w:spacing w:val="-2"/>
        </w:rPr>
        <w:t>and subject to strict requirements of legality, necessity and proportionality;</w:t>
      </w:r>
    </w:p>
    <w:p w:rsidR="00E63C6A" w:rsidP="00E63C6A" w14:paraId="6BF00061"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44B33589" w14:textId="1E9479F4">
      <w:pPr>
        <w:pStyle w:val="ListParagraph"/>
        <w:numPr>
          <w:ilvl w:val="1"/>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360"/>
        <w:rPr>
          <w:spacing w:val="-2"/>
        </w:rPr>
      </w:pPr>
      <w:r w:rsidRPr="00E63C6A">
        <w:rPr>
          <w:spacing w:val="-2"/>
        </w:rPr>
        <w:t>Considers that only an independent impartial judiciary should hold the power to ban a political party, as an impartial judicial process prevents political parties from unilaterally undermining</w:t>
      </w:r>
      <w:r w:rsidRPr="00E63C6A">
        <w:rPr>
          <w:spacing w:val="-2"/>
        </w:rPr>
        <w:t xml:space="preserve"> </w:t>
      </w:r>
      <w:r w:rsidRPr="00E63C6A">
        <w:rPr>
          <w:spacing w:val="-2"/>
        </w:rPr>
        <w:t>or destroying their political adversaries; calls on all political parties and external actors to refrain from interfering in the procedure before the Constitutional Court;</w:t>
      </w:r>
    </w:p>
    <w:p w:rsidR="00E63C6A" w:rsidP="00E63C6A" w14:paraId="2A19A96E"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6C5B62A2" w14:textId="56BA6042">
      <w:pPr>
        <w:pStyle w:val="ListParagraph"/>
        <w:numPr>
          <w:ilvl w:val="1"/>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360"/>
        <w:rPr>
          <w:spacing w:val="-2"/>
        </w:rPr>
      </w:pPr>
      <w:r w:rsidRPr="00E63C6A">
        <w:rPr>
          <w:spacing w:val="-2"/>
        </w:rPr>
        <w:t>Considers that the procedure against the political ESN party and the lack of comparable concerns regarding the treatment of migration-critical opposition parties in Germany and other Member States exemplify a clear double standard, undermining the credibility of the EU</w:t>
      </w:r>
      <w:r w:rsidRPr="00E63C6A">
        <w:rPr>
          <w:spacing w:val="-2"/>
        </w:rPr>
        <w:t xml:space="preserve"> </w:t>
      </w:r>
      <w:r w:rsidRPr="00E63C6A">
        <w:rPr>
          <w:spacing w:val="-2"/>
        </w:rPr>
        <w:t>institutions when defending democratic pluralism in third countries;</w:t>
      </w:r>
    </w:p>
    <w:p w:rsidR="00E63C6A" w:rsidP="00E63C6A" w14:paraId="08E3D7EB" w14:textId="77777777">
      <w:p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E63C6A" w:rsidP="00E63C6A" w14:paraId="65515A50" w14:textId="2CCFB250">
      <w:pPr>
        <w:pStyle w:val="ListParagraph"/>
        <w:numPr>
          <w:ilvl w:val="1"/>
          <w:numId w:val="41"/>
        </w:numPr>
        <w:tabs>
          <w:tab w:val="left" w:pos="-1104"/>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ind w:left="360"/>
        <w:rPr>
          <w:spacing w:val="-2"/>
        </w:rPr>
      </w:pPr>
      <w:r w:rsidRPr="00E63C6A">
        <w:rPr>
          <w:spacing w:val="-2"/>
        </w:rPr>
        <w:t>Instructs its President to forward this resolution to the Council, the Commission, the Vice</w:t>
      </w:r>
      <w:r w:rsidRPr="00E63C6A">
        <w:rPr>
          <w:spacing w:val="-2"/>
        </w:rPr>
        <w:t>-</w:t>
      </w:r>
      <w:r w:rsidRPr="00E63C6A">
        <w:rPr>
          <w:spacing w:val="-2"/>
        </w:rPr>
        <w:t>President of the Commission/High Representative of the Union for Foreign Affairs and Security Policy, the European External Action Service, the governments and parliaments of the Member States, and the President, government and parliament of Georgia.</w:t>
      </w:r>
    </w:p>
    <w:p w:rsidR="00E63C6A" w:rsidRPr="00325D8E" w:rsidP="00E63C6A" w14:paraId="7D028BBF" w14:textId="77777777">
      <w:pPr>
        <w:tabs>
          <w:tab w:val="left" w:pos="-1104"/>
          <w:tab w:val="left" w:pos="-96"/>
          <w:tab w:val="left" w:pos="336"/>
          <w:tab w:val="left" w:pos="672"/>
          <w:tab w:val="left" w:pos="1104"/>
          <w:tab w:val="left" w:pos="1680"/>
          <w:tab w:val="left" w:pos="2256"/>
          <w:tab w:val="left" w:pos="2832"/>
          <w:tab w:val="left" w:pos="3360"/>
          <w:tab w:val="left" w:pos="3936"/>
          <w:tab w:val="left" w:pos="4512"/>
          <w:tab w:val="left" w:pos="5088"/>
          <w:tab w:val="left" w:pos="5664"/>
          <w:tab w:val="left" w:pos="6192"/>
          <w:tab w:val="left" w:pos="6768"/>
          <w:tab w:val="left" w:pos="7344"/>
          <w:tab w:val="left" w:pos="7920"/>
          <w:tab w:val="left" w:pos="8496"/>
          <w:tab w:val="left" w:pos="9024"/>
          <w:tab w:val="left" w:pos="9600"/>
        </w:tabs>
        <w:suppressAutoHyphens/>
        <w:rPr>
          <w:spacing w:val="-2"/>
        </w:rPr>
      </w:pPr>
    </w:p>
    <w:p w:rsidR="00E63C6A" w:rsidRPr="00325D8E" w:rsidP="00E63C6A" w14:paraId="65B812AC" w14:textId="77777777"/>
    <w:p w:rsidR="001565D3" w:rsidRPr="0018379A" w:rsidP="001565D3" w14:paraId="0A506D0B" w14:textId="77777777"/>
    <w:sectPr w:rsidSect="00E26D9C">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18379A" w:rsidP="0047637C" w14:paraId="39207AD8" w14:textId="4D8B1A86">
    <w:pPr>
      <w:pStyle w:val="EPFooter"/>
    </w:pPr>
    <w:r w:rsidRPr="0018379A">
      <w:t>PE</w:t>
    </w:r>
    <w:r w:rsidRPr="0018379A">
      <w:rPr>
        <w:rStyle w:val="HideTWBExt"/>
      </w:rPr>
      <w:t>&lt;NoPE&gt;</w:t>
    </w:r>
    <w:r w:rsidRPr="00E63C6A" w:rsidR="00E63C6A">
      <w:t>788.316</w:t>
    </w:r>
    <w:r w:rsidRPr="0018379A">
      <w:rPr>
        <w:rStyle w:val="HideTWBExt"/>
      </w:rPr>
      <w:t>&lt;/NoPE&gt;&lt;Version&gt;</w:t>
    </w:r>
    <w:r w:rsidRPr="0018379A" w:rsidR="0018379A">
      <w:t>v</w:t>
    </w:r>
    <w:r w:rsidRPr="00E63C6A" w:rsidR="00E63C6A">
      <w:t>01-00</w:t>
    </w:r>
    <w:r w:rsidRPr="0018379A">
      <w:rPr>
        <w:rStyle w:val="HideTWBExt"/>
      </w:rPr>
      <w:t>&lt;/Version&gt;</w:t>
    </w:r>
    <w:r w:rsidRPr="0018379A">
      <w:tab/>
    </w:r>
    <w:r w:rsidRPr="0018379A" w:rsidR="001565D3">
      <w:fldChar w:fldCharType="begin"/>
    </w:r>
    <w:r w:rsidRPr="0018379A" w:rsidR="001565D3">
      <w:instrText xml:space="preserve"> PAGE </w:instrText>
    </w:r>
    <w:r w:rsidRPr="0018379A" w:rsidR="001565D3">
      <w:fldChar w:fldCharType="separate"/>
    </w:r>
    <w:r w:rsidRPr="0018379A" w:rsidR="00E26D9C">
      <w:rPr>
        <w:noProof/>
      </w:rPr>
      <w:t>2</w:t>
    </w:r>
    <w:r w:rsidRPr="0018379A" w:rsidR="001565D3">
      <w:fldChar w:fldCharType="end"/>
    </w:r>
    <w:r w:rsidRPr="0018379A" w:rsidR="001565D3">
      <w:t>/</w:t>
    </w:r>
    <w:r w:rsidRPr="0018379A" w:rsidR="0037154C">
      <w:fldChar w:fldCharType="begin"/>
    </w:r>
    <w:r w:rsidRPr="0018379A" w:rsidR="0037154C">
      <w:instrText xml:space="preserve"> NUMPAGES </w:instrText>
    </w:r>
    <w:r w:rsidRPr="0018379A" w:rsidR="0037154C">
      <w:fldChar w:fldCharType="separate"/>
    </w:r>
    <w:r w:rsidRPr="0018379A" w:rsidR="00E26D9C">
      <w:rPr>
        <w:noProof/>
      </w:rPr>
      <w:t>2</w:t>
    </w:r>
    <w:r w:rsidRPr="0018379A" w:rsidR="0037154C">
      <w:rPr>
        <w:noProof/>
      </w:rPr>
      <w:fldChar w:fldCharType="end"/>
    </w:r>
    <w:r w:rsidRPr="0018379A">
      <w:tab/>
    </w:r>
    <w:r w:rsidRPr="0018379A">
      <w:rPr>
        <w:rStyle w:val="HideTWBExt"/>
      </w:rPr>
      <w:t>&lt;PathFdR&gt;</w:t>
    </w:r>
    <w:r w:rsidRPr="00E63C6A" w:rsidR="00E63C6A">
      <w:t>RE\P10_</w:t>
    </w:r>
    <w:r w:rsidRPr="00E63C6A" w:rsidR="00E63C6A">
      <w:t>B(2026)0447_EN.docx</w:t>
    </w:r>
    <w:r w:rsidRPr="0018379A">
      <w:rPr>
        <w:rStyle w:val="HideTWBExt"/>
      </w:rPr>
      <w:t>&lt;/PathFdR&gt;</w:t>
    </w:r>
  </w:p>
  <w:p w:rsidR="00155F2B" w:rsidRPr="0018379A" w14:paraId="2E1570FC" w14:textId="214740AA">
    <w:pPr>
      <w:pStyle w:val="EPFooter2"/>
    </w:pPr>
    <w:r w:rsidRPr="0018379A">
      <w:fldChar w:fldCharType="begin"/>
    </w:r>
    <w:r w:rsidRPr="0018379A">
      <w:instrText xml:space="preserve"> DOCPROPERTY "&lt;Extension&gt;" </w:instrText>
    </w:r>
    <w:r w:rsidRPr="0018379A">
      <w:fldChar w:fldCharType="separate"/>
    </w:r>
    <w:r w:rsidR="00E63C6A">
      <w:t>EN</w:t>
    </w:r>
    <w:r w:rsidRPr="0018379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18379A" w:rsidP="0047637C" w14:paraId="0ED3A8DC" w14:textId="603C0925">
    <w:pPr>
      <w:pStyle w:val="EPFooter"/>
    </w:pPr>
    <w:r w:rsidRPr="0018379A">
      <w:rPr>
        <w:rStyle w:val="HideTWBExt"/>
      </w:rPr>
      <w:t>&lt;PathFdR&gt;</w:t>
    </w:r>
    <w:r w:rsidRPr="00E63C6A" w:rsidR="00E63C6A">
      <w:t>RE\P10_</w:t>
    </w:r>
    <w:r w:rsidRPr="00E63C6A" w:rsidR="00E63C6A">
      <w:t>B(2026)0447_EN.docx</w:t>
    </w:r>
    <w:r w:rsidRPr="0018379A">
      <w:rPr>
        <w:rStyle w:val="HideTWBExt"/>
      </w:rPr>
      <w:t>&lt;/PathFdR&gt;</w:t>
    </w:r>
    <w:r w:rsidRPr="0018379A">
      <w:tab/>
    </w:r>
    <w:r w:rsidRPr="0018379A" w:rsidR="001565D3">
      <w:fldChar w:fldCharType="begin"/>
    </w:r>
    <w:r w:rsidRPr="0018379A" w:rsidR="001565D3">
      <w:instrText xml:space="preserve"> PAGE </w:instrText>
    </w:r>
    <w:r w:rsidRPr="0018379A" w:rsidR="001565D3">
      <w:fldChar w:fldCharType="separate"/>
    </w:r>
    <w:r w:rsidRPr="0018379A" w:rsidR="00E26D9C">
      <w:rPr>
        <w:noProof/>
      </w:rPr>
      <w:t>3</w:t>
    </w:r>
    <w:r w:rsidRPr="0018379A" w:rsidR="001565D3">
      <w:fldChar w:fldCharType="end"/>
    </w:r>
    <w:r w:rsidRPr="0018379A" w:rsidR="001565D3">
      <w:t>/</w:t>
    </w:r>
    <w:r w:rsidRPr="0018379A" w:rsidR="0037154C">
      <w:fldChar w:fldCharType="begin"/>
    </w:r>
    <w:r w:rsidRPr="0018379A" w:rsidR="0037154C">
      <w:instrText xml:space="preserve"> NUMPAGES </w:instrText>
    </w:r>
    <w:r w:rsidRPr="0018379A" w:rsidR="0037154C">
      <w:fldChar w:fldCharType="separate"/>
    </w:r>
    <w:r w:rsidRPr="0018379A" w:rsidR="00E26D9C">
      <w:rPr>
        <w:noProof/>
      </w:rPr>
      <w:t>3</w:t>
    </w:r>
    <w:r w:rsidRPr="0018379A" w:rsidR="0037154C">
      <w:rPr>
        <w:noProof/>
      </w:rPr>
      <w:fldChar w:fldCharType="end"/>
    </w:r>
    <w:r w:rsidRPr="0018379A">
      <w:tab/>
      <w:t>PE</w:t>
    </w:r>
    <w:r w:rsidRPr="0018379A">
      <w:rPr>
        <w:rStyle w:val="HideTWBExt"/>
      </w:rPr>
      <w:t>&lt;NoPE&gt;</w:t>
    </w:r>
    <w:r w:rsidRPr="00E63C6A" w:rsidR="00E63C6A">
      <w:t>788.316</w:t>
    </w:r>
    <w:r w:rsidRPr="0018379A">
      <w:rPr>
        <w:rStyle w:val="HideTWBExt"/>
      </w:rPr>
      <w:t>&lt;/NoPE&gt;&lt;Version&gt;</w:t>
    </w:r>
    <w:r w:rsidRPr="0018379A" w:rsidR="0018379A">
      <w:t>v</w:t>
    </w:r>
    <w:r w:rsidRPr="00E63C6A" w:rsidR="00E63C6A">
      <w:t>01-00</w:t>
    </w:r>
    <w:r w:rsidRPr="0018379A">
      <w:rPr>
        <w:rStyle w:val="HideTWBExt"/>
      </w:rPr>
      <w:t>&lt;/Version&gt;</w:t>
    </w:r>
  </w:p>
  <w:p w:rsidR="00155F2B" w:rsidRPr="0018379A" w14:paraId="6901C29B" w14:textId="2B67D61B">
    <w:pPr>
      <w:pStyle w:val="EPFooter2"/>
    </w:pPr>
    <w:r w:rsidRPr="0018379A">
      <w:tab/>
    </w:r>
    <w:r w:rsidRPr="0018379A">
      <w:tab/>
    </w:r>
    <w:r w:rsidRPr="0018379A" w:rsidR="0037154C">
      <w:fldChar w:fldCharType="begin"/>
    </w:r>
    <w:r w:rsidRPr="0018379A" w:rsidR="0037154C">
      <w:instrText xml:space="preserve"> DOCPROPERTY "&lt;Extension&gt;" </w:instrText>
    </w:r>
    <w:r w:rsidRPr="0018379A" w:rsidR="0037154C">
      <w:fldChar w:fldCharType="separate"/>
    </w:r>
    <w:r w:rsidR="00E63C6A">
      <w:t>EN</w:t>
    </w:r>
    <w:r w:rsidRPr="0018379A" w:rsidR="0037154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5F2B" w:rsidRPr="0018379A" w:rsidP="0047637C" w14:paraId="528CADC3" w14:textId="4C3FD501">
    <w:pPr>
      <w:pStyle w:val="EPFooter"/>
    </w:pPr>
    <w:r w:rsidRPr="0018379A">
      <w:rPr>
        <w:rStyle w:val="HideTWBExt"/>
      </w:rPr>
      <w:t>&lt;PathFdR&gt;</w:t>
    </w:r>
    <w:r w:rsidRPr="00E63C6A" w:rsidR="00E63C6A">
      <w:t>RE\P10_</w:t>
    </w:r>
    <w:r w:rsidRPr="00E63C6A" w:rsidR="00E63C6A">
      <w:t>B(2026)0447_EN.docx</w:t>
    </w:r>
    <w:r w:rsidRPr="0018379A">
      <w:rPr>
        <w:rStyle w:val="HideTWBExt"/>
      </w:rPr>
      <w:t>&lt;/PathFdR&gt;</w:t>
    </w:r>
    <w:r w:rsidRPr="0018379A">
      <w:tab/>
    </w:r>
    <w:r w:rsidRPr="0018379A">
      <w:tab/>
      <w:t>PE</w:t>
    </w:r>
    <w:r w:rsidRPr="0018379A">
      <w:rPr>
        <w:rStyle w:val="HideTWBExt"/>
      </w:rPr>
      <w:t>&lt;NoPE&gt;</w:t>
    </w:r>
    <w:r w:rsidRPr="00E63C6A" w:rsidR="00E63C6A">
      <w:t>788.316</w:t>
    </w:r>
    <w:r w:rsidRPr="0018379A">
      <w:rPr>
        <w:rStyle w:val="HideTWBExt"/>
      </w:rPr>
      <w:t>&lt;/NoPE&gt;&lt;Version&gt;</w:t>
    </w:r>
    <w:r w:rsidRPr="0018379A" w:rsidR="0018379A">
      <w:t>v</w:t>
    </w:r>
    <w:r w:rsidRPr="00E63C6A" w:rsidR="00E63C6A">
      <w:t>01-00</w:t>
    </w:r>
    <w:r w:rsidRPr="0018379A">
      <w:rPr>
        <w:rStyle w:val="HideTWBExt"/>
      </w:rPr>
      <w:t>&lt;/Version&gt;</w:t>
    </w:r>
  </w:p>
  <w:p w:rsidR="00155F2B" w:rsidRPr="0018379A" w:rsidP="00155F2B" w14:paraId="79F305C0" w14:textId="0E145B77">
    <w:pPr>
      <w:pStyle w:val="EPFooter2"/>
      <w:tabs>
        <w:tab w:val="clear" w:pos="4535"/>
        <w:tab w:val="center" w:pos="4536"/>
      </w:tabs>
    </w:pPr>
    <w:r w:rsidRPr="0018379A">
      <w:fldChar w:fldCharType="begin"/>
    </w:r>
    <w:r w:rsidRPr="0018379A">
      <w:instrText xml:space="preserve"> DOCPROPERTY "&lt;Extension&gt;" </w:instrText>
    </w:r>
    <w:r w:rsidRPr="0018379A">
      <w:fldChar w:fldCharType="separate"/>
    </w:r>
    <w:r w:rsidR="00E63C6A">
      <w:t>EN</w:t>
    </w:r>
    <w:r w:rsidRPr="0018379A">
      <w:fldChar w:fldCharType="end"/>
    </w:r>
    <w:r w:rsidRPr="0018379A">
      <w:tab/>
    </w:r>
    <w:r w:rsidR="00E63C6A">
      <w:rPr>
        <w:b w:val="0"/>
        <w:i/>
        <w:color w:val="C0C0C0"/>
        <w:sz w:val="22"/>
        <w:szCs w:val="22"/>
      </w:rPr>
      <w:t>United in diversity</w:t>
    </w:r>
    <w:r w:rsidRPr="0018379A">
      <w:tab/>
    </w:r>
    <w:r w:rsidRPr="0018379A">
      <w:fldChar w:fldCharType="begin"/>
    </w:r>
    <w:r w:rsidRPr="0018379A">
      <w:instrText xml:space="preserve"> DOCPROPERTY "&lt;Extension&gt;" </w:instrText>
    </w:r>
    <w:r w:rsidRPr="0018379A">
      <w:fldChar w:fldCharType="separate"/>
    </w:r>
    <w:r w:rsidR="00E63C6A">
      <w:t>EN</w:t>
    </w:r>
    <w:r w:rsidRPr="0018379A">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3C6A" w14:paraId="04C3459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3C6A" w14:paraId="2034BD2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3C6A" w14:paraId="57D8089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447C07E1"/>
    <w:multiLevelType w:val="hybridMultilevel"/>
    <w:tmpl w:val="18FCCCCA"/>
    <w:lvl w:ilvl="0">
      <w:start w:val="1"/>
      <w:numFmt w:val="upperLetter"/>
      <w:lvlText w:val="%1."/>
      <w:lvlJc w:val="left"/>
      <w:pPr>
        <w:ind w:left="360" w:hanging="360"/>
      </w:pPr>
      <w:rPr>
        <w:rFonts w:hint="default"/>
      </w:rPr>
    </w:lvl>
    <w:lvl w:ilvl="1">
      <w:start w:val="1"/>
      <w:numFmt w:val="decimal"/>
      <w:lvlText w:val="%2."/>
      <w:lvlJc w:val="left"/>
      <w:pPr>
        <w:ind w:left="1080" w:hanging="360"/>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79A"/>
    <w:rsid w:val="00073ED6"/>
    <w:rsid w:val="000813F9"/>
    <w:rsid w:val="00113DF6"/>
    <w:rsid w:val="0012167F"/>
    <w:rsid w:val="00155F2B"/>
    <w:rsid w:val="001565D3"/>
    <w:rsid w:val="00163C89"/>
    <w:rsid w:val="00171176"/>
    <w:rsid w:val="0018379A"/>
    <w:rsid w:val="001B02B2"/>
    <w:rsid w:val="001E562A"/>
    <w:rsid w:val="00221528"/>
    <w:rsid w:val="0022720C"/>
    <w:rsid w:val="0023563C"/>
    <w:rsid w:val="0029017B"/>
    <w:rsid w:val="00296981"/>
    <w:rsid w:val="002A39BB"/>
    <w:rsid w:val="002B315F"/>
    <w:rsid w:val="002D1CE1"/>
    <w:rsid w:val="002D5F2C"/>
    <w:rsid w:val="002D7795"/>
    <w:rsid w:val="0030129C"/>
    <w:rsid w:val="00325D8E"/>
    <w:rsid w:val="003520DB"/>
    <w:rsid w:val="0037154C"/>
    <w:rsid w:val="003B3BC2"/>
    <w:rsid w:val="003C01F7"/>
    <w:rsid w:val="003E1BD5"/>
    <w:rsid w:val="003E6238"/>
    <w:rsid w:val="00424DC4"/>
    <w:rsid w:val="00431748"/>
    <w:rsid w:val="0047637C"/>
    <w:rsid w:val="0048106D"/>
    <w:rsid w:val="004D1817"/>
    <w:rsid w:val="00522C8A"/>
    <w:rsid w:val="00545512"/>
    <w:rsid w:val="005B6C1A"/>
    <w:rsid w:val="00611E4E"/>
    <w:rsid w:val="006B4303"/>
    <w:rsid w:val="007457C0"/>
    <w:rsid w:val="007F1E14"/>
    <w:rsid w:val="00844F3E"/>
    <w:rsid w:val="00851A6C"/>
    <w:rsid w:val="008713AB"/>
    <w:rsid w:val="008D0CDD"/>
    <w:rsid w:val="008F0D32"/>
    <w:rsid w:val="009E42B0"/>
    <w:rsid w:val="00A24296"/>
    <w:rsid w:val="00A95E1B"/>
    <w:rsid w:val="00B068D6"/>
    <w:rsid w:val="00C85D0F"/>
    <w:rsid w:val="00C93A6D"/>
    <w:rsid w:val="00D457FD"/>
    <w:rsid w:val="00D773BD"/>
    <w:rsid w:val="00D94703"/>
    <w:rsid w:val="00DA585C"/>
    <w:rsid w:val="00DE2325"/>
    <w:rsid w:val="00DF6C84"/>
    <w:rsid w:val="00E02ECA"/>
    <w:rsid w:val="00E26D9C"/>
    <w:rsid w:val="00E26F84"/>
    <w:rsid w:val="00E63C6A"/>
    <w:rsid w:val="00F25D9E"/>
    <w:rsid w:val="00FF3F3E"/>
  </w:rsids>
  <w:docVars>
    <w:docVar w:name="CopyToNetwork" w:val="-1"/>
    <w:docVar w:name="DOCDT" w:val="06/10/2026"/>
    <w:docVar w:name="LastEditedSection" w:val=" 1"/>
    <w:docVar w:name="MVar" w:val="0"/>
    <w:docVar w:name="ONBEHALFMNU" w:val=" 1"/>
    <w:docVar w:name="strDocTypeID" w:val="RE_UrgentDebatePG"/>
    <w:docVar w:name="strSubDir" w:val="P10"/>
    <w:docVar w:name="TITLEMNU" w:val=" 1"/>
    <w:docVar w:name="TXTLANGUE" w:val="EN"/>
    <w:docVar w:name="TXTLANGUEMIN" w:val="en"/>
    <w:docVar w:name="TXTNRB" w:val="0447/2026"/>
    <w:docVar w:name="TXTNRPE" w:val="788.316"/>
    <w:docVar w:name="TXTNRRSP" w:val="2026/2913"/>
    <w:docVar w:name="TXTPEorAP" w:val="PE"/>
    <w:docVar w:name="TXTROUTE" w:val="RE\P10_B(2026)0447_EN.docx"/>
    <w:docVar w:name="TXTTITLE" w:val="attempts by the ruling party Georgian Dream to ban opposition parties in Georgia"/>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A99898DB-941F-42F0-9D35-6C5A4CC6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3ED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C93A6D"/>
    <w:pPr>
      <w:spacing w:after="240"/>
    </w:pPr>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EPComma">
    <w:name w:val="EPComma"/>
    <w:basedOn w:val="Normal"/>
    <w:rsid w:val="0029017B"/>
    <w:pPr>
      <w:spacing w:before="480" w:after="240"/>
    </w:p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113DF6"/>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113DF6"/>
    <w:pPr>
      <w:spacing w:after="240"/>
      <w:ind w:left="1418"/>
    </w:pPr>
  </w:style>
  <w:style w:type="paragraph" w:customStyle="1" w:styleId="CoverNormal24a">
    <w:name w:val="CoverNormal24a"/>
    <w:basedOn w:val="Normal"/>
    <w:rsid w:val="00113DF6"/>
    <w:pPr>
      <w:spacing w:after="480"/>
      <w:ind w:left="1417"/>
    </w:pPr>
  </w:style>
  <w:style w:type="paragraph" w:customStyle="1" w:styleId="CoverDocType24a">
    <w:name w:val="CoverDocType24a"/>
    <w:basedOn w:val="Normal"/>
    <w:rsid w:val="0047637C"/>
    <w:pPr>
      <w:spacing w:after="480"/>
      <w:ind w:left="1418"/>
    </w:pPr>
    <w:rPr>
      <w:rFonts w:ascii="Arial" w:hAnsi="Arial"/>
      <w:b/>
      <w:sz w:val="48"/>
    </w:rPr>
  </w:style>
  <w:style w:type="paragraph" w:styleId="Header">
    <w:name w:val="header"/>
    <w:basedOn w:val="Normal"/>
    <w:link w:val="HeaderChar"/>
    <w:uiPriority w:val="99"/>
    <w:rsid w:val="002D7795"/>
    <w:pPr>
      <w:tabs>
        <w:tab w:val="center" w:pos="4513"/>
        <w:tab w:val="right" w:pos="9026"/>
      </w:tabs>
    </w:pPr>
  </w:style>
  <w:style w:type="table" w:styleId="TableGrid">
    <w:name w:val="Table Grid"/>
    <w:basedOn w:val="TableNormal"/>
    <w:rsid w:val="00155F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5F2B"/>
    <w:pPr>
      <w:jc w:val="center"/>
    </w:pPr>
    <w:rPr>
      <w:rFonts w:ascii="Arial" w:hAnsi="Arial" w:cs="Arial"/>
      <w:i/>
      <w:sz w:val="22"/>
      <w:szCs w:val="22"/>
    </w:rPr>
  </w:style>
  <w:style w:type="paragraph" w:customStyle="1" w:styleId="LineTop">
    <w:name w:val="LineTop"/>
    <w:basedOn w:val="Normal"/>
    <w:next w:val="Normal"/>
    <w:rsid w:val="00155F2B"/>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63C89"/>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48106D"/>
    <w:pPr>
      <w:spacing w:before="80" w:after="80"/>
    </w:pPr>
    <w:rPr>
      <w:rFonts w:ascii="Arial Narrow" w:hAnsi="Arial Narrow" w:cs="Arial"/>
      <w:b/>
      <w:sz w:val="32"/>
      <w:szCs w:val="22"/>
    </w:rPr>
  </w:style>
  <w:style w:type="paragraph" w:customStyle="1" w:styleId="EPTerm">
    <w:name w:val="EPTerm"/>
    <w:basedOn w:val="Normal"/>
    <w:next w:val="Normal"/>
    <w:rsid w:val="0048106D"/>
    <w:pPr>
      <w:spacing w:after="80"/>
    </w:pPr>
    <w:rPr>
      <w:rFonts w:ascii="Arial" w:hAnsi="Arial" w:cs="Arial"/>
      <w:sz w:val="20"/>
      <w:szCs w:val="22"/>
    </w:rPr>
  </w:style>
  <w:style w:type="paragraph" w:customStyle="1" w:styleId="EPLogo">
    <w:name w:val="EPLogo"/>
    <w:basedOn w:val="Normal"/>
    <w:qFormat/>
    <w:rsid w:val="0048106D"/>
    <w:pPr>
      <w:jc w:val="right"/>
    </w:pPr>
  </w:style>
  <w:style w:type="paragraph" w:customStyle="1" w:styleId="CoverReference">
    <w:name w:val="CoverReference"/>
    <w:basedOn w:val="Normal"/>
    <w:rsid w:val="00163C89"/>
    <w:pPr>
      <w:spacing w:before="1080"/>
      <w:jc w:val="right"/>
    </w:pPr>
    <w:rPr>
      <w:rFonts w:ascii="Arial" w:hAnsi="Arial" w:cs="Arial"/>
      <w:b/>
    </w:rPr>
  </w:style>
  <w:style w:type="paragraph" w:customStyle="1" w:styleId="CoverDate">
    <w:name w:val="CoverDate"/>
    <w:basedOn w:val="Normal"/>
    <w:rsid w:val="00163C89"/>
    <w:pPr>
      <w:spacing w:before="240" w:after="1200"/>
    </w:pPr>
  </w:style>
  <w:style w:type="paragraph" w:customStyle="1" w:styleId="EPFooter">
    <w:name w:val="EPFooter"/>
    <w:basedOn w:val="Normal"/>
    <w:rsid w:val="0047637C"/>
    <w:pPr>
      <w:tabs>
        <w:tab w:val="center" w:pos="4535"/>
        <w:tab w:val="right" w:pos="9071"/>
      </w:tabs>
      <w:spacing w:before="240" w:after="240"/>
    </w:pPr>
    <w:rPr>
      <w:sz w:val="22"/>
    </w:rPr>
  </w:style>
  <w:style w:type="character" w:customStyle="1" w:styleId="HeaderChar">
    <w:name w:val="Header Char"/>
    <w:basedOn w:val="DefaultParagraphFont"/>
    <w:link w:val="Header"/>
    <w:uiPriority w:val="99"/>
    <w:rsid w:val="002D7795"/>
    <w:rPr>
      <w:sz w:val="24"/>
    </w:rPr>
  </w:style>
  <w:style w:type="paragraph" w:styleId="ListParagraph">
    <w:name w:val="List Paragraph"/>
    <w:basedOn w:val="Normal"/>
    <w:uiPriority w:val="34"/>
    <w:qFormat/>
    <w:rsid w:val="00E63C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RE_UrgentDebate</vt:lpstr>
    </vt:vector>
  </TitlesOfParts>
  <Company/>
  <LinksUpToDate>false</LinksUpToDate>
  <CharactersWithSpaces>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RE_UrgentDebatePG</dc:title>
  <dc:creator>European Parliament</dc:creator>
  <cp:lastModifiedBy>European Parliament</cp:lastModifiedBy>
  <cp:revision>2</cp:revision>
  <cp:lastPrinted>2004-11-19T16:07:00Z</cp:lastPrinted>
  <dcterms:created xsi:type="dcterms:W3CDTF">2026-10-06T08:39:00Z</dcterms:created>
  <dcterms:modified xsi:type="dcterms:W3CDTF">2026-10-06T08:39:00Z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P10_B(2026)0447_</vt:lpwstr>
  </property>
  <property fmtid="{D5CDD505-2E9C-101B-9397-08002B2CF9AE}" pid="4" name="&lt;Model&gt;">
    <vt:lpwstr>RE_UrgentDebatePG</vt:lpwstr>
  </property>
  <property fmtid="{D5CDD505-2E9C-101B-9397-08002B2CF9AE}" pid="5" name="&lt;ModelCod&gt;">
    <vt:lpwstr>\\eiciLUXpr1\pdocep$\DocEP\DOCS\General\RE\RERD\RE_UrgentDebatePG.dotx(11/04/2022 09:43:07)</vt:lpwstr>
  </property>
  <property fmtid="{D5CDD505-2E9C-101B-9397-08002B2CF9AE}" pid="6" name="&lt;ModelTra&gt;">
    <vt:lpwstr>\\eiciLUXpr1\pdocep$\DocEP\TRANSFIL\EN\RE_UrgentDebatePG.EN(14/07/2025 14:34:06)</vt:lpwstr>
  </property>
  <property fmtid="{D5CDD505-2E9C-101B-9397-08002B2CF9AE}" pid="7" name="&lt;Type&gt;">
    <vt:lpwstr>RE</vt:lpwstr>
  </property>
  <property fmtid="{D5CDD505-2E9C-101B-9397-08002B2CF9AE}" pid="8" name="Created with">
    <vt:lpwstr>9.18.0 Build [20240801]</vt:lpwstr>
  </property>
  <property fmtid="{D5CDD505-2E9C-101B-9397-08002B2CF9AE}" pid="9" name="FooterPath">
    <vt:lpwstr>RE\P10_B(2026)0447_EN.docx</vt:lpwstr>
  </property>
  <property fmtid="{D5CDD505-2E9C-101B-9397-08002B2CF9AE}" pid="10" name="LastEdited with">
    <vt:lpwstr>9.18.0 Build [20240801]</vt:lpwstr>
  </property>
  <property fmtid="{D5CDD505-2E9C-101B-9397-08002B2CF9AE}" pid="11" name="PE number">
    <vt:lpwstr>788.316</vt:lpwstr>
  </property>
  <property fmtid="{D5CDD505-2E9C-101B-9397-08002B2CF9AE}" pid="12" name="RegistreCheck">
    <vt:lpwstr>OK</vt:lpwstr>
  </property>
</Properties>
</file>