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82E46C0" w14:textId="77777777">
        <w:tblPrEx>
          <w:tblW w:w="9072" w:type="dxa"/>
          <w:tblCellMar>
            <w:left w:w="0" w:type="dxa"/>
            <w:right w:w="0" w:type="dxa"/>
          </w:tblCellMar>
          <w:tblLook w:val="01E0"/>
        </w:tblPrEx>
        <w:trPr>
          <w:trHeight w:hRule="exact" w:val="1418"/>
        </w:trPr>
        <w:tc>
          <w:tcPr>
            <w:tcW w:w="6804" w:type="dxa"/>
            <w:vAlign w:val="center"/>
            <w:hideMark/>
          </w:tcPr>
          <w:p w:rsidR="008C5A7F" w:rsidRPr="00D850AC" w14:paraId="6A07E142" w14:textId="77777777">
            <w:pPr>
              <w:pStyle w:val="EPName"/>
            </w:pPr>
            <w:r>
              <w:t>Parlement européen</w:t>
            </w:r>
          </w:p>
          <w:p w:rsidR="008C5A7F" w:rsidRPr="00D850AC" w14:paraId="4B598D79" w14:textId="77777777">
            <w:pPr>
              <w:pStyle w:val="EPTerm"/>
            </w:pPr>
            <w:r>
              <w:t>2024-2029</w:t>
            </w:r>
          </w:p>
        </w:tc>
        <w:tc>
          <w:tcPr>
            <w:tcW w:w="2268" w:type="dxa"/>
            <w:hideMark/>
          </w:tcPr>
          <w:p w:rsidR="008C5A7F" w:rsidRPr="00D850AC" w14:paraId="45953565" w14:textId="2D5528A7">
            <w:pPr>
              <w:pStyle w:val="EPLogo"/>
            </w:pPr>
            <w:r w:rsidRPr="00D850AC">
              <w:rPr>
                <w:noProof/>
                <w:lang w:eastAsia="ja-JP"/>
              </w:rPr>
              <w:drawing>
                <wp:inline distT="0" distB="0" distL="0" distR="0">
                  <wp:extent cx="1162050" cy="657225"/>
                  <wp:effectExtent l="0" t="0" r="0" b="9525"/>
                  <wp:docPr id="947798693" name="Picture 5"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30007" name="Picture 1" descr="EP logo RGB_Mute"/>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8C5A7F" w:rsidRPr="00D850AC" w:rsidP="008C5A7F" w14:paraId="725CEC2B" w14:textId="77777777">
      <w:pPr>
        <w:pStyle w:val="LineTop"/>
      </w:pPr>
    </w:p>
    <w:p w:rsidR="008C5A7F" w:rsidRPr="00D850AC" w:rsidP="008C5A7F" w14:paraId="71DD2534" w14:textId="0FF5AE25">
      <w:pPr>
        <w:pStyle w:val="EPBody"/>
      </w:pPr>
      <w:r>
        <w:t>Document de séance</w:t>
      </w:r>
    </w:p>
    <w:p w:rsidR="008C5A7F" w:rsidRPr="00D850AC" w:rsidP="008C5A7F" w14:paraId="4BE93832" w14:textId="77777777">
      <w:pPr>
        <w:pStyle w:val="LineBottom"/>
      </w:pPr>
    </w:p>
    <w:p w:rsidR="008C5A7F" w:rsidRPr="00D850AC" w:rsidP="008C5A7F" w14:paraId="4D1DBD31" w14:textId="5870C6C4">
      <w:pPr>
        <w:pStyle w:val="CoverReference"/>
      </w:pPr>
      <w:r>
        <w:rPr>
          <w:rStyle w:val="HideTWBExt"/>
          <w:b w:val="0"/>
        </w:rPr>
        <w:t>&lt;NoDocSe&gt;</w:t>
      </w:r>
      <w:r>
        <w:t>B10</w:t>
      </w:r>
      <w:r>
        <w:noBreakHyphen/>
        <w:t>0465/2026</w:t>
      </w:r>
      <w:r>
        <w:rPr>
          <w:rStyle w:val="HideTWBExt"/>
          <w:b w:val="0"/>
        </w:rPr>
        <w:t>&lt;/NoDocSe&gt;</w:t>
      </w:r>
    </w:p>
    <w:p w:rsidR="008C5A7F" w:rsidRPr="00D850AC" w:rsidP="008C5A7F" w14:paraId="08EFD147" w14:textId="6445CBAD">
      <w:pPr>
        <w:pStyle w:val="CoverDate"/>
      </w:pPr>
      <w:r>
        <w:rPr>
          <w:rStyle w:val="HideTWBExt"/>
        </w:rPr>
        <w:t>&lt;Date&gt;</w:t>
      </w:r>
      <w:r>
        <w:rPr>
          <w:rStyle w:val="HideTWBInt"/>
        </w:rPr>
        <w:t>{05/10/2026}</w:t>
      </w:r>
      <w:r>
        <w:t>5.10.2026</w:t>
      </w:r>
      <w:r>
        <w:rPr>
          <w:rStyle w:val="HideTWBExt"/>
        </w:rPr>
        <w:t>&lt;/Date&gt;</w:t>
      </w:r>
    </w:p>
    <w:p w:rsidR="008C5A7F" w:rsidRPr="00D850AC" w:rsidP="008C5A7F" w14:paraId="733C476A" w14:textId="48335FA3">
      <w:pPr>
        <w:pStyle w:val="CoverDocType24a"/>
      </w:pPr>
      <w:r>
        <w:rPr>
          <w:rStyle w:val="HideTWBExt"/>
          <w:b w:val="0"/>
        </w:rPr>
        <w:t>&lt;TitreType&gt;</w:t>
      </w:r>
      <w:r>
        <w:t>PROPOSITION DE RÉSOLUTION</w:t>
      </w:r>
      <w:r>
        <w:rPr>
          <w:rStyle w:val="HideTWBExt"/>
          <w:b w:val="0"/>
        </w:rPr>
        <w:t>&lt;/TitreType&gt;</w:t>
      </w:r>
    </w:p>
    <w:p w:rsidR="008C5A7F" w:rsidRPr="00D850AC" w:rsidP="008C5A7F" w14:paraId="6A8C974E" w14:textId="77777777">
      <w:pPr>
        <w:pStyle w:val="CoverNormal12a"/>
      </w:pPr>
      <w:r>
        <w:rPr>
          <w:rStyle w:val="HideTWBExt"/>
        </w:rPr>
        <w:t>&lt;TitreRecueil&gt;</w:t>
      </w:r>
      <w:r>
        <w:t>déposée conformément à l’article 115, paragraphes 2 et 3 et paragraphe 4, point c), du règlement intérieur</w:t>
      </w:r>
      <w:r>
        <w:rPr>
          <w:rStyle w:val="HideTWBExt"/>
        </w:rPr>
        <w:t>&lt;/TitreRecueil&gt;</w:t>
      </w:r>
    </w:p>
    <w:p w:rsidR="008C5A7F" w:rsidRPr="00D850AC" w:rsidP="008C5A7F" w14:paraId="2E957775" w14:textId="77777777">
      <w:pPr>
        <w:pStyle w:val="CoverNormal"/>
        <w:jc w:val="both"/>
      </w:pPr>
      <w:r>
        <w:rPr>
          <w:rStyle w:val="HideTWBExt"/>
        </w:rPr>
        <w:t>&lt;Titre&gt;</w:t>
      </w:r>
      <w:r>
        <w:t>sur le projet de règlement de la Commission modifiant l’annexe III du règlement (CE) nº 1925/2006 du Parlement européen et du Conseil en ce qui concerne certaines espèces végétales contenant des dérivés hydroxyanthracéniques</w:t>
      </w:r>
      <w:r>
        <w:rPr>
          <w:rStyle w:val="HideTWBExt"/>
        </w:rPr>
        <w:t>&lt;/Titre&gt;</w:t>
      </w:r>
    </w:p>
    <w:p w:rsidR="008C5A7F" w:rsidRPr="00D850AC" w:rsidP="008C5A7F" w14:paraId="3714A177" w14:textId="77777777">
      <w:pPr>
        <w:pStyle w:val="CoverNormal24a"/>
      </w:pPr>
      <w:r>
        <w:rPr>
          <w:rStyle w:val="HideTWBExt"/>
        </w:rPr>
        <w:t>&lt;DocRef&gt;</w:t>
      </w:r>
      <w:r>
        <w:t>(D099926/03 – 2026/2839(RPS))</w:t>
      </w:r>
      <w:r>
        <w:rPr>
          <w:rStyle w:val="HideTWBExt"/>
        </w:rPr>
        <w:t>&lt;/DocRef&gt;</w:t>
      </w:r>
    </w:p>
    <w:p w:rsidR="008C5A7F" w:rsidRPr="00D850AC" w:rsidP="008C5A7F" w14:paraId="2D832387" w14:textId="77777777">
      <w:pPr>
        <w:pStyle w:val="CoverBold24a"/>
      </w:pPr>
      <w:r>
        <w:rPr>
          <w:rStyle w:val="HideTWBExt"/>
          <w:b w:val="0"/>
        </w:rPr>
        <w:t>&lt;Commission&gt;</w:t>
      </w:r>
      <w:r>
        <w:rPr>
          <w:rStyle w:val="HideTWBInt"/>
        </w:rPr>
        <w:t>{ENVI}</w:t>
      </w:r>
      <w:r>
        <w:t>Commission de l’environnement, du climat et de la sécurité alimentaire</w:t>
      </w:r>
      <w:r>
        <w:rPr>
          <w:rStyle w:val="HideTWBExt"/>
          <w:b w:val="0"/>
        </w:rPr>
        <w:t>&lt;/Commission&gt;</w:t>
      </w:r>
    </w:p>
    <w:p w:rsidR="008C5A7F" w:rsidRPr="00D850AC" w:rsidP="008C5A7F" w14:paraId="1AF6CEF5" w14:textId="77777777">
      <w:pPr>
        <w:pStyle w:val="CoverNormal24a"/>
      </w:pPr>
      <w:r>
        <w:t xml:space="preserve">Député responsable: </w:t>
      </w:r>
      <w:r>
        <w:rPr>
          <w:rStyle w:val="HideTWBExt"/>
        </w:rPr>
        <w:t>&lt;Depute&gt;</w:t>
      </w:r>
      <w:r>
        <w:t>Pascal Arimont</w:t>
      </w:r>
      <w:r>
        <w:rPr>
          <w:rStyle w:val="HideTWBExt"/>
        </w:rPr>
        <w:t>&lt;/Depute&gt;</w:t>
      </w:r>
    </w:p>
    <w:p w:rsidR="00252AB8" w:rsidRPr="00D850AC" w:rsidP="00252AB8" w14:paraId="4A7C21CA" w14:textId="2C57EE5E">
      <w:pPr>
        <w:pStyle w:val="NormalBold12a"/>
      </w:pPr>
      <w:r>
        <w:br w:type="page"/>
      </w:r>
      <w:r>
        <w:t>B10</w:t>
      </w:r>
      <w:r>
        <w:noBreakHyphen/>
        <w:t>0465/2026</w:t>
      </w:r>
    </w:p>
    <w:p w:rsidR="00252AB8" w:rsidRPr="00D850AC" w:rsidP="00252AB8" w14:paraId="17291D20" w14:textId="77777777">
      <w:pPr>
        <w:pStyle w:val="NormalBold"/>
      </w:pPr>
      <w:r>
        <w:t>Résolution du Parlement européen sur le projet de règlement de la Commission modifiant l’annexe III du règlement (CE) nº 1925/2006 du Parlement européen et du Conseil en ce qui concerne certaines espèces végétales contenant des dérivés hydroxyanthracéniques (D099926/03 – 2026/2839(RPS))</w:t>
      </w:r>
    </w:p>
    <w:p w:rsidR="00252AB8" w:rsidRPr="00D850AC" w:rsidP="00252AB8" w14:paraId="1F4F06D4" w14:textId="77777777">
      <w:pPr>
        <w:pStyle w:val="EPComma"/>
      </w:pPr>
      <w:r>
        <w:rPr>
          <w:i/>
        </w:rPr>
        <w:t>Le Parlement européen</w:t>
      </w:r>
      <w:r>
        <w:t>,</w:t>
      </w:r>
    </w:p>
    <w:p w:rsidR="00252AB8" w:rsidRPr="00D850AC" w:rsidP="00252AB8" w14:paraId="35C5C151" w14:textId="77777777">
      <w:pPr>
        <w:pStyle w:val="NormalHanging12a"/>
      </w:pPr>
      <w:r>
        <w:t>–</w:t>
      </w:r>
      <w:r>
        <w:tab/>
        <w:t>vu le projet de règlement de la Commission modifiant l’annexe III du règlement (CE) nº 1925/2006 du Parlement européen et du Conseil en ce qui concerne certaines espèces végétales contenant des dérivés hydroxyanthracéniques (D099926/03),</w:t>
      </w:r>
    </w:p>
    <w:p w:rsidR="00252AB8" w:rsidRPr="00D850AC" w:rsidP="00252AB8" w14:paraId="7E961325" w14:textId="77777777">
      <w:pPr>
        <w:pStyle w:val="NormalHanging12a"/>
      </w:pPr>
      <w:r>
        <w:t>–</w:t>
      </w:r>
      <w:r>
        <w:tab/>
        <w:t>vu le règlement (CE) n</w:t>
      </w:r>
      <w:r>
        <w:rPr>
          <w:vertAlign w:val="superscript"/>
        </w:rPr>
        <w:t>o</w:t>
      </w:r>
      <w:r>
        <w:t> 1925/2006 du Parlement européen et du Conseil du 20 décembre 2006 concernant l'adjonction de vitamines, de minéraux et de certaines autres substances aux denrées alimentaires</w:t>
      </w:r>
      <w:r>
        <w:rPr>
          <w:rStyle w:val="FootnoteReference"/>
        </w:rPr>
        <w:footnoteReference w:id="2"/>
      </w:r>
      <w:r>
        <w:t>, et notamment son article 8, paragraphe 5, premier alinéa,</w:t>
      </w:r>
    </w:p>
    <w:p w:rsidR="00252AB8" w:rsidRPr="00D850AC" w:rsidP="00252AB8" w14:paraId="5E6960A9" w14:textId="77777777">
      <w:pPr>
        <w:pStyle w:val="NormalHanging12a"/>
      </w:pPr>
      <w:r>
        <w:t>–</w:t>
      </w:r>
      <w:r>
        <w:tab/>
        <w:t>vu l’avis rendu le 1</w:t>
      </w:r>
      <w:r>
        <w:rPr>
          <w:vertAlign w:val="superscript"/>
        </w:rPr>
        <w:t>er</w:t>
      </w:r>
      <w:r>
        <w:t xml:space="preserve"> juillet 2026 par le comité permanent des végétaux, des animaux, des denrées alimentaires et des aliments pour animaux,</w:t>
      </w:r>
    </w:p>
    <w:p w:rsidR="00252AB8" w:rsidRPr="00D850AC" w:rsidP="00252AB8" w14:paraId="0BAE14BB" w14:textId="77777777">
      <w:pPr>
        <w:pStyle w:val="NormalHanging12a"/>
      </w:pPr>
      <w:r>
        <w:t>–</w:t>
      </w:r>
      <w:r>
        <w:tab/>
        <w:t>vu l’article 5 bis, paragraphe 3, point b), de la décision 1999/468/CE du Conseil du 28 juin 1999 fixant les modalités de l’exercice des compétences d'exécution conférées à la Commission</w:t>
      </w:r>
      <w:r>
        <w:rPr>
          <w:rStyle w:val="FootnoteReference"/>
        </w:rPr>
        <w:footnoteReference w:id="3"/>
      </w:r>
      <w:r>
        <w:t>,</w:t>
      </w:r>
    </w:p>
    <w:p w:rsidR="00252AB8" w:rsidRPr="00D850AC" w:rsidP="00252AB8" w14:paraId="305DFB8A" w14:textId="77777777">
      <w:pPr>
        <w:pStyle w:val="NormalHanging12a"/>
      </w:pPr>
      <w:r>
        <w:t>–</w:t>
      </w:r>
      <w:r>
        <w:tab/>
        <w:t>vu l’article 115, paragraphes 2 et 3 et paragraphe 4, point c), de son règlement intérieur,</w:t>
      </w:r>
    </w:p>
    <w:p w:rsidR="00252AB8" w:rsidRPr="00D850AC" w:rsidP="00252AB8" w14:paraId="20879A0D" w14:textId="77777777">
      <w:pPr>
        <w:pStyle w:val="NormalHanging12a"/>
      </w:pPr>
      <w:r>
        <w:t>–</w:t>
      </w:r>
      <w:r>
        <w:tab/>
        <w:t>vu la proposition de résolution de la commission de l’environnement, du climat et de la sécurité alimentaire,</w:t>
      </w:r>
    </w:p>
    <w:p w:rsidR="00252AB8" w:rsidRPr="00D850AC" w:rsidP="00252AB8" w14:paraId="0D2DB20D" w14:textId="77777777">
      <w:pPr>
        <w:spacing w:after="240"/>
        <w:ind w:left="567" w:hanging="567"/>
      </w:pPr>
      <w:r>
        <w:t>A.</w:t>
      </w:r>
      <w:r>
        <w:tab/>
        <w:t xml:space="preserve">considérant que le projet de règlement de la Commission interdirait dans les denrées alimentaires les préparations obtenues à partir d’espèces spécifiées de </w:t>
      </w:r>
      <w:r>
        <w:rPr>
          <w:i/>
          <w:iCs/>
        </w:rPr>
        <w:t>Rheum</w:t>
      </w:r>
      <w:r>
        <w:t xml:space="preserve">, de </w:t>
      </w:r>
      <w:r>
        <w:rPr>
          <w:i/>
          <w:iCs/>
        </w:rPr>
        <w:t>Cassia senna</w:t>
      </w:r>
      <w:r>
        <w:t xml:space="preserve"> et de </w:t>
      </w:r>
      <w:r>
        <w:rPr>
          <w:i/>
          <w:iCs/>
        </w:rPr>
        <w:t>Rhamnus</w:t>
      </w:r>
      <w:r>
        <w:t xml:space="preserve"> (ci-après les «espèces végétales concernées») lorsque ces préparations contiennent des dérivés hydroxyanthracéniques (DHA);</w:t>
      </w:r>
    </w:p>
    <w:p w:rsidR="00252AB8" w:rsidRPr="00D850AC" w:rsidP="00252AB8" w14:paraId="2D146195" w14:textId="77777777">
      <w:pPr>
        <w:spacing w:after="240"/>
        <w:ind w:left="567" w:hanging="567"/>
      </w:pPr>
      <w:r>
        <w:t>B.</w:t>
      </w:r>
      <w:r>
        <w:tab/>
        <w:t>considérant que le règlement (UE) 2021/468</w:t>
      </w:r>
      <w:r>
        <w:rPr>
          <w:rStyle w:val="FootnoteReference"/>
          <w:rFonts w:eastAsia="Arial"/>
          <w:szCs w:val="24"/>
        </w:rPr>
        <w:footnoteReference w:id="4"/>
      </w:r>
      <w:r>
        <w:t xml:space="preserve"> de la Commission a placé ces mêmes catégories de préparations sous contrôle de l’Union dans la partie C de l’annexe III du règlement (CE) n</w:t>
      </w:r>
      <w:r>
        <w:rPr>
          <w:vertAlign w:val="superscript"/>
        </w:rPr>
        <w:t>o</w:t>
      </w:r>
      <w:r>
        <w:t> 1925/2006; que le projet de règlement de la Commission les déplacerait de la partie C à la partie A, ce qui entraînerait une interdiction totale;</w:t>
      </w:r>
    </w:p>
    <w:p w:rsidR="00252AB8" w:rsidRPr="00D850AC" w:rsidP="00252AB8" w14:paraId="01F06833" w14:textId="77777777">
      <w:pPr>
        <w:spacing w:after="240"/>
        <w:ind w:left="567" w:hanging="567"/>
      </w:pPr>
      <w:r>
        <w:t>C.</w:t>
      </w:r>
      <w:r>
        <w:tab/>
        <w:t>considérant que le projet de règlement de la Commission est une nouvelle mesure adoptée à l’issue de la procédure de contrôle prévue à l’article 8, paragraphe 5, du règlement (CE) n</w:t>
      </w:r>
      <w:r>
        <w:rPr>
          <w:vertAlign w:val="superscript"/>
        </w:rPr>
        <w:t>o</w:t>
      </w:r>
      <w:r>
        <w:t xml:space="preserve"> 1925/2006 et qu’il n’est donc pas formellement identique au règlement (UE) 2021/468; qu’il concerne néanmoins les mêmes catégories de </w:t>
      </w:r>
      <w:r>
        <w:t>préparations et continue de s’appuyer, en partie, sur l’avis scientifique de l’Autorité européenne de sécurité des aliments (EFSA) adopté le 22 novembre 2017 et publié le 23 janvier 2018 sur la sécurité des dérivés hydroxyanthracéniques destinés à être utilisés dans les denrées alimentaires</w:t>
      </w:r>
      <w:r>
        <w:rPr>
          <w:rStyle w:val="FootnoteReference"/>
          <w:rFonts w:eastAsia="Arial"/>
          <w:szCs w:val="24"/>
        </w:rPr>
        <w:footnoteReference w:id="5"/>
      </w:r>
      <w:r>
        <w:t>;</w:t>
      </w:r>
    </w:p>
    <w:p w:rsidR="00252AB8" w:rsidRPr="00D850AC" w:rsidP="00252AB8" w14:paraId="7EDA228C" w14:textId="77777777">
      <w:pPr>
        <w:spacing w:after="240"/>
        <w:ind w:left="567" w:hanging="567"/>
      </w:pPr>
      <w:r>
        <w:t>D.</w:t>
      </w:r>
      <w:r>
        <w:tab/>
        <w:t>considérant que les préparations obtenues à partir des espèces végétales concernées sont utilisées depuis longtemps dans les aliments et les compléments alimentaires dans l’ensemble de l’Union; que la législation nationale de plusieurs États membres autorise expressément l’utilisation d’au moins certaines de ces espèces ou préparations végétales, sous réserve d’exigences en matière de composition, de conditions d’utilisation et de mises en garde destinées à gérer les risques identifiés par l’EFSA; que, pour l’éventail complet des produits et des utilisations visés par le projet de règlement de la Commission, la Commission n’a pas présenté d’évaluation distincte montrant pourquoi les mesures d’exécution des États membres et les mesures nationales ciblées de gestion des risques seraient insuffisantes dans l’attente d’une mesure harmonisée pleinement étayée, ou pourquoi l’ampleur ou les effets du risque identifié nécessitent une interdiction absolue immédiate à l’échelle de l’Union;</w:t>
      </w:r>
    </w:p>
    <w:p w:rsidR="00252AB8" w:rsidRPr="00D850AC" w:rsidP="00252AB8" w14:paraId="116C53A5" w14:textId="77777777">
      <w:pPr>
        <w:spacing w:after="240"/>
        <w:ind w:left="567" w:hanging="567"/>
      </w:pPr>
      <w:r>
        <w:t>E.</w:t>
      </w:r>
      <w:r>
        <w:tab/>
        <w:t>considérant que le Tribunal a annulé</w:t>
      </w:r>
      <w:r>
        <w:rPr>
          <w:rStyle w:val="FootnoteReference"/>
        </w:rPr>
        <w:footnoteReference w:id="6"/>
      </w:r>
      <w:r>
        <w:t xml:space="preserve"> les dispositions du règlement (UE) 2021/468 plaçant les préparations obtenues à partir des espèces végétales concernées sous contrôle de l’Union; que ces arrêts font l’objet de recours pendants devant la Cour de justice et que les implications des arrêts définitifs devraient donc être pleinement prises en compte afin de garantir la sécurité juridique et un cadre réglementaire stable;</w:t>
      </w:r>
    </w:p>
    <w:p w:rsidR="00252AB8" w:rsidRPr="00D850AC" w:rsidP="00252AB8" w14:paraId="03D19206" w14:textId="77777777">
      <w:pPr>
        <w:spacing w:after="240"/>
        <w:ind w:left="567" w:hanging="567"/>
      </w:pPr>
      <w:r>
        <w:t>F.</w:t>
      </w:r>
      <w:r>
        <w:tab/>
        <w:t>considérant que les dispositions pertinentes ont été annulées au motif que les conditions énoncées à l’article 8 du règlement (CE) n</w:t>
      </w:r>
      <w:r>
        <w:rPr>
          <w:vertAlign w:val="superscript"/>
        </w:rPr>
        <w:t>o</w:t>
      </w:r>
      <w:r>
        <w:t> 1925/2006 pour habiliter la Commission à exercer des pouvoirs délégués en vue de modifier la liste des substances figurant à l’annexe III n’étaient pas remplies;</w:t>
      </w:r>
    </w:p>
    <w:p w:rsidR="00252AB8" w:rsidRPr="00D850AC" w:rsidP="00252AB8" w14:paraId="19DBA2AF" w14:textId="77777777">
      <w:pPr>
        <w:spacing w:after="240"/>
        <w:ind w:left="567" w:hanging="567"/>
      </w:pPr>
      <w:r>
        <w:t>G.</w:t>
      </w:r>
      <w:r>
        <w:tab/>
        <w:t>considérant que l’EFSA a fait part de préoccupations concernant la génotoxicité des préparations végétales contenant des DHA, bien que l’incertitude persiste; que l’Agence européenne des médicaments (EMA) reconnaît certaines utilisations médicales de substances végétales contenant des DHA sous réserve de conditions, de restrictions et de mises en garde définies;</w:t>
      </w:r>
    </w:p>
    <w:p w:rsidR="00252AB8" w:rsidRPr="00D850AC" w:rsidP="00252AB8" w14:paraId="19FCD763" w14:textId="77777777">
      <w:pPr>
        <w:spacing w:after="240"/>
        <w:ind w:left="567" w:hanging="567"/>
      </w:pPr>
      <w:r>
        <w:t>H.</w:t>
      </w:r>
      <w:r>
        <w:tab/>
        <w:t>considérant que l’EFSA et l’EMA effectuent des évaluations dans des cadres juridiques différents, à des fins différentes et par rapport à des conditions d’utilisation différentes; que, bien que leurs évaluations ne soient donc pas directement comparables, leurs conclusions respectives concernant les substances végétales qui contiennent des DHA méritent un examen attentif lors de la détermination des mesures appropriées de gestion des risques pour les denrées alimentaires;</w:t>
      </w:r>
    </w:p>
    <w:p w:rsidR="00252AB8" w:rsidRPr="00D850AC" w:rsidP="00252AB8" w14:paraId="13DFB334" w14:textId="77777777">
      <w:pPr>
        <w:spacing w:after="240"/>
        <w:ind w:left="567" w:hanging="578"/>
      </w:pPr>
      <w:r>
        <w:t>I.</w:t>
      </w:r>
      <w:r>
        <w:tab/>
        <w:t xml:space="preserve">considérant que l’article 30 du règlement (CE) nº 178/2002 du Parlement européen et du Conseil du 28 janvier 2002 établissant les principes généraux et les prescriptions </w:t>
      </w:r>
      <w:r>
        <w:t>générales de la législation alimentaire, instituant l’Autorité européenne de sécurité des aliments et fixant des procédures relatives à la sécurité des denrées alimentaires</w:t>
      </w:r>
      <w:r>
        <w:rPr>
          <w:rStyle w:val="FootnoteReference"/>
        </w:rPr>
        <w:footnoteReference w:id="7"/>
      </w:r>
      <w:r>
        <w:t xml:space="preserve"> prévoit un mécanisme pour remédier aux divergences entre avis scientifiques; que la Commission devrait préciser si cette disposition est applicable aux évaluations respectives de l’EFSA et de l’EMA en l’espèce et, dans l’affirmative, comment elle a été utilisée;</w:t>
      </w:r>
    </w:p>
    <w:p w:rsidR="00252AB8" w:rsidRPr="00D850AC" w:rsidP="00252AB8" w14:paraId="07EA9B40" w14:textId="77777777">
      <w:pPr>
        <w:spacing w:after="240"/>
        <w:ind w:left="567" w:hanging="567"/>
      </w:pPr>
      <w:r>
        <w:t>J.</w:t>
      </w:r>
      <w:r>
        <w:tab/>
        <w:t>considérant que l’EFSA elle-même, dans son évaluation, reconnaît que des données spécifiques peuvent conduire à des conclusions différentes pour certains DHA, en citant la rhéine à titre d’exemple; que l’évaluation scientifique ne traite donc pas tous les DHA de manière identique;</w:t>
      </w:r>
    </w:p>
    <w:p w:rsidR="00252AB8" w:rsidRPr="00D850AC" w:rsidP="00252AB8" w14:paraId="4E52930E" w14:textId="77777777">
      <w:pPr>
        <w:spacing w:after="240"/>
        <w:ind w:left="567" w:hanging="567"/>
      </w:pPr>
      <w:r>
        <w:t>K.</w:t>
      </w:r>
      <w:r>
        <w:tab/>
        <w:t>considérant que les DHA constituent un groupe de composés hétérogène; que le projet de règlement de la Commission interdirait toute préparation obtenue à partir de l’espèce végétale concernée contenant un DHA, indépendamment du DHA présent en l’espèce, de sa concentration et de sa dose, du procédé de fabrication, des conditions d’utilisation ou du groupe de consommateurs concerné, et même en l’absence du composant particulier à l’origine des préoccupations de l’EFSA; que le projet de règlement de la Commission devrait en outre exposer les raisons pour lesquelles des mesures plus ciblées, y compris des teneurs maximales, des exigences en matière de composition, des conditions d’utilisation ou des mises en garde obligatoires, n’assureraient pas un niveau élevé équivalent de protection des consommateurs, conformément au principe de proportionnalité;</w:t>
      </w:r>
    </w:p>
    <w:p w:rsidR="00252AB8" w:rsidRPr="00D850AC" w:rsidP="00252AB8" w14:paraId="50E071C0" w14:textId="77777777">
      <w:pPr>
        <w:spacing w:after="240"/>
        <w:ind w:left="567" w:hanging="567"/>
      </w:pPr>
      <w:r>
        <w:t>L.</w:t>
      </w:r>
      <w:r>
        <w:tab/>
        <w:t>considérant qu’une interdiction totale aura des conséquences économiques pour les agriculteurs, les cultivateurs d’herbes et les exploitants du secteur alimentaire et qu’il n’y a pas lieu de l’imposer avant d’avoir fait la lumière sur les différences dans l’évaluation scientifique des risques, et confirmé qu’une interdiction totale est le seul moyen de gérer le risque;</w:t>
      </w:r>
    </w:p>
    <w:p w:rsidR="00252AB8" w:rsidRPr="00D850AC" w:rsidP="00252AB8" w14:paraId="4D78C1A5" w14:textId="77777777">
      <w:pPr>
        <w:spacing w:after="240"/>
        <w:ind w:left="567" w:hanging="567"/>
      </w:pPr>
      <w:r>
        <w:t>M.</w:t>
      </w:r>
      <w:r>
        <w:tab/>
        <w:t>considérant que, compte tenu de ce qui précède, la protection de la santé publique, la garantie de la sécurité juridique et l’adoption de mesures proportionnées sont des objectifs complémentaires; qu’une objection ne remplacerait pas l’évaluation scientifique par un jugement politique, mais donnerait le temps d’examiner correctement les questions juridiques et scientifiques en suspens;</w:t>
      </w:r>
    </w:p>
    <w:p w:rsidR="00252AB8" w:rsidRPr="00D850AC" w:rsidP="00252AB8" w14:paraId="2CA9AA30" w14:textId="77777777">
      <w:pPr>
        <w:pStyle w:val="NormalHanging12a"/>
        <w:ind w:hanging="570"/>
      </w:pPr>
      <w:r>
        <w:t>1.</w:t>
      </w:r>
      <w:r>
        <w:tab/>
        <w:t>s’oppose à l’adoption du projet de règlement de la Commission;</w:t>
      </w:r>
    </w:p>
    <w:p w:rsidR="00252AB8" w:rsidRPr="00D850AC" w:rsidP="00252AB8" w14:paraId="03F2C5B6" w14:textId="77777777">
      <w:pPr>
        <w:pStyle w:val="NormalHanging12a"/>
        <w:ind w:hanging="570"/>
      </w:pPr>
      <w:r>
        <w:t>2.</w:t>
      </w:r>
      <w:r>
        <w:tab/>
        <w:t>estime que le projet de règlement de la Commission excède les compétences d’exécution prévues dans le règlement (CE) n</w:t>
      </w:r>
      <w:r>
        <w:rPr>
          <w:vertAlign w:val="superscript"/>
        </w:rPr>
        <w:t>o</w:t>
      </w:r>
      <w:r>
        <w:t> 1925/2006, dans la mesure où il considère que l’incapacité d’établir la sécurité sur la base des données soumises suffit à justifier une interdiction totale conformément à l’annexe III, partie A, dudit règlement, où il étend une préoccupation fondée sur un composant particulier à toute préparation contenant un DHA et où il ne démontre pas suffisamment l’identification d’un effet nocif pour chacune des grandes catégories de préparation et d’utilisation couvertes par l’interdiction;</w:t>
      </w:r>
    </w:p>
    <w:p w:rsidR="00252AB8" w:rsidRPr="00D850AC" w:rsidP="00252AB8" w14:paraId="13979B88" w14:textId="77777777">
      <w:pPr>
        <w:pStyle w:val="NormalHanging12a"/>
      </w:pPr>
      <w:r>
        <w:t>3.</w:t>
      </w:r>
      <w:r>
        <w:tab/>
        <w:t xml:space="preserve">invite la Commission à retirer le projet de règlement ou à reporter son adoption jusqu’à </w:t>
      </w:r>
      <w:r>
        <w:t>ce que la Cour de justice ait statué définitivement sur les recours pendants et, en cas de renvoi des affaires, jusqu’à ce que la Commission ait dûment évalué et expliqué les implications des moyens restant à examiner;</w:t>
      </w:r>
    </w:p>
    <w:p w:rsidR="00252AB8" w:rsidRPr="00D850AC" w:rsidP="00252AB8" w14:paraId="3A365DAA" w14:textId="77777777">
      <w:pPr>
        <w:pStyle w:val="NormalHanging12a"/>
      </w:pPr>
      <w:r>
        <w:t>4.</w:t>
      </w:r>
      <w:r>
        <w:tab/>
        <w:t>souligne que la sécurité juridique et l’exercice efficace et ordonné du contrôle juridictionnel justifient la retenue institutionnelle; relève que la Commission n’est pas légalement empêchée d’agir, mais estime que l’adoption de l’interdiction proposée avant le règlement définitif des recours pendants et avant que les moyens non examinés aient été dûment traités risque de donner lieu à des procédures parallèles, à des résultats incohérents, à des coûts d’adaptation irréversibles et à une réduction de l’efficacité pratique du contrôle juridictionnel en cours;</w:t>
      </w:r>
    </w:p>
    <w:p w:rsidR="00252AB8" w:rsidRPr="00D850AC" w:rsidP="00252AB8" w14:paraId="52B41182" w14:textId="77777777">
      <w:pPr>
        <w:pStyle w:val="NormalHanging12a"/>
      </w:pPr>
      <w:r>
        <w:t>5.</w:t>
      </w:r>
      <w:r>
        <w:tab/>
        <w:t>invite la Commission, avant de proposer toute nouvelle mesure, à obtenir une évaluation scientifique complète, transparente et actualisée couvrant les différents DHA et préparations concernés, la caractérisation des dangers, l’exposition et la dose, les procédés de fabrication, la durée et les conditions d’utilisation ainsi que les groupes vulnérables; invite en outre la Commission à veiller à ce que les questions méthodologiques soulevées en ce qui concerne les éléments de preuve essentiels et toute divergence significative entre l’EFSA, l’EMA et d’autres organismes scientifiques compétents soient formellement examinées et expliquées, et à préciser si l’article 30 du règlement (CE) n</w:t>
      </w:r>
      <w:r>
        <w:rPr>
          <w:vertAlign w:val="superscript"/>
        </w:rPr>
        <w:t>o</w:t>
      </w:r>
      <w:r>
        <w:t> 178/2002 s’applique dans ce contexte et, dans l’affirmative, comment son mécanisme a été utilisé;</w:t>
      </w:r>
    </w:p>
    <w:p w:rsidR="00252AB8" w:rsidRPr="00D850AC" w:rsidP="00252AB8" w14:paraId="61107E64" w14:textId="77777777">
      <w:pPr>
        <w:pStyle w:val="NormalHanging12a"/>
      </w:pPr>
      <w:r>
        <w:t>6.</w:t>
      </w:r>
      <w:r>
        <w:tab/>
        <w:t>invite la Commission à définir la base sur laquelle une interdiction totale est jugée nécessaire et proportionnée, à examiner plus avant si des mesures moins restrictives au titre de l’annexe III, partie B, du règlement (CE) n</w:t>
      </w:r>
      <w:r>
        <w:rPr>
          <w:vertAlign w:val="superscript"/>
        </w:rPr>
        <w:t>o</w:t>
      </w:r>
      <w:r>
        <w:t> 1925/2006 pourraient assurer un niveau élevé équivalent de protection des consommateurs et à définir toute catégorie réglementée par référence à des critères végétaux, des critères de composition, des critères analytiques et des critères de concentration suffisamment précis pour garantir la sécurité juridique et une application effective;</w:t>
      </w:r>
    </w:p>
    <w:p w:rsidR="00F9151F" w:rsidRPr="00D850AC" w:rsidP="00252AB8" w14:paraId="5A9A58BC" w14:textId="08BA881D">
      <w:pPr>
        <w:pStyle w:val="NormalHanging12a"/>
      </w:pPr>
      <w:r>
        <w:t>7.</w:t>
      </w:r>
      <w:r>
        <w:tab/>
        <w:t>charge sa Présidente de transmettre la présente résolution au Conseil et à la Commission ainsi qu’aux gouvernements et aux parlements des États membres.</w:t>
      </w:r>
    </w:p>
    <w:sectPr w:rsidSect="00752B8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B89" w:rsidRPr="00D850AC" w:rsidP="00752B89" w14:paraId="447ACF50" w14:textId="77777777">
    <w:pPr>
      <w:pStyle w:val="EPFooter"/>
    </w:pPr>
    <w:r w:rsidRPr="00D850AC">
      <w:t>PE</w:t>
    </w:r>
    <w:r w:rsidRPr="00D850AC">
      <w:rPr>
        <w:rStyle w:val="HideTWBExt"/>
      </w:rPr>
      <w:t>&lt;NoPE&gt;</w:t>
    </w:r>
    <w:r w:rsidRPr="00D850AC">
      <w:t>791.932</w:t>
    </w:r>
    <w:r w:rsidRPr="00D850AC">
      <w:rPr>
        <w:rStyle w:val="HideTWBExt"/>
      </w:rPr>
      <w:t>&lt;/NoPE&gt;&lt;Version&gt;</w:t>
    </w:r>
    <w:r w:rsidRPr="00D850AC">
      <w:t>v02-00</w:t>
    </w:r>
    <w:r w:rsidRPr="00D850AC">
      <w:rPr>
        <w:rStyle w:val="HideTWBExt"/>
      </w:rPr>
      <w:t>&lt;/Version&gt;</w:t>
    </w:r>
    <w:r w:rsidRPr="00D850AC">
      <w:tab/>
    </w:r>
    <w:r w:rsidRPr="00D850AC">
      <w:fldChar w:fldCharType="begin"/>
    </w:r>
    <w:r w:rsidRPr="00D850AC">
      <w:instrText xml:space="preserve"> PAGE  \* MERGEFORMAT </w:instrText>
    </w:r>
    <w:r w:rsidRPr="00D850AC">
      <w:fldChar w:fldCharType="separate"/>
    </w:r>
    <w:r w:rsidRPr="00D850AC">
      <w:rPr>
        <w:noProof/>
      </w:rPr>
      <w:t>2</w:t>
    </w:r>
    <w:r w:rsidRPr="00D850AC">
      <w:fldChar w:fldCharType="end"/>
    </w:r>
    <w:r w:rsidRPr="00D850AC">
      <w:t>/</w:t>
    </w:r>
    <w:r>
      <w:fldChar w:fldCharType="begin"/>
    </w:r>
    <w:r>
      <w:instrText xml:space="preserve"> NUMPAGES  \* MERGEFORMAT </w:instrText>
    </w:r>
    <w:r>
      <w:fldChar w:fldCharType="separate"/>
    </w:r>
    <w:r w:rsidRPr="00D850AC">
      <w:rPr>
        <w:noProof/>
      </w:rPr>
      <w:t>5</w:t>
    </w:r>
    <w:r w:rsidRPr="00D850AC">
      <w:rPr>
        <w:noProof/>
      </w:rPr>
      <w:fldChar w:fldCharType="end"/>
    </w:r>
    <w:r w:rsidRPr="00D850AC">
      <w:tab/>
    </w:r>
    <w:r w:rsidRPr="00D850AC">
      <w:rPr>
        <w:rStyle w:val="HideTWBExt"/>
      </w:rPr>
      <w:t>&lt;PathFdR&gt;</w:t>
    </w:r>
    <w:r w:rsidRPr="00D850AC">
      <w:t>RE\1352059FR.docx</w:t>
    </w:r>
    <w:r w:rsidRPr="00D850AC">
      <w:rPr>
        <w:rStyle w:val="HideTWBExt"/>
      </w:rPr>
      <w:t>&lt;/PathFdR&gt;</w:t>
    </w:r>
  </w:p>
  <w:p w:rsidR="00F17D74" w:rsidRPr="00D850AC" w:rsidP="00752B89" w14:paraId="544DE465" w14:textId="088B400D">
    <w:pPr>
      <w:pStyle w:val="EPFooter2"/>
    </w:pPr>
    <w:r w:rsidRPr="00D850AC">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B89" w:rsidRPr="00D850AC" w:rsidP="00752B89" w14:paraId="1F0C25EA" w14:textId="77777777">
    <w:pPr>
      <w:pStyle w:val="EPFooter"/>
    </w:pPr>
    <w:r w:rsidRPr="00D850AC">
      <w:rPr>
        <w:rStyle w:val="HideTWBExt"/>
      </w:rPr>
      <w:t>&lt;PathFdR&gt;</w:t>
    </w:r>
    <w:r w:rsidRPr="00D850AC">
      <w:t>RE\1352059FR.docx</w:t>
    </w:r>
    <w:r w:rsidRPr="00D850AC">
      <w:rPr>
        <w:rStyle w:val="HideTWBExt"/>
      </w:rPr>
      <w:t>&lt;/PathFdR&gt;</w:t>
    </w:r>
    <w:r w:rsidRPr="00D850AC">
      <w:tab/>
    </w:r>
    <w:r w:rsidRPr="00D850AC">
      <w:fldChar w:fldCharType="begin"/>
    </w:r>
    <w:r w:rsidRPr="00D850AC">
      <w:instrText xml:space="preserve"> PAGE  \* MERGEFORMAT </w:instrText>
    </w:r>
    <w:r w:rsidRPr="00D850AC">
      <w:fldChar w:fldCharType="separate"/>
    </w:r>
    <w:r w:rsidRPr="00D850AC">
      <w:rPr>
        <w:noProof/>
      </w:rPr>
      <w:t>3</w:t>
    </w:r>
    <w:r w:rsidRPr="00D850AC">
      <w:fldChar w:fldCharType="end"/>
    </w:r>
    <w:r w:rsidRPr="00D850AC">
      <w:t>/</w:t>
    </w:r>
    <w:r>
      <w:fldChar w:fldCharType="begin"/>
    </w:r>
    <w:r>
      <w:instrText xml:space="preserve"> NUMPAGES  \* MERGEFORMAT </w:instrText>
    </w:r>
    <w:r>
      <w:fldChar w:fldCharType="separate"/>
    </w:r>
    <w:r w:rsidRPr="00D850AC">
      <w:rPr>
        <w:noProof/>
      </w:rPr>
      <w:t>5</w:t>
    </w:r>
    <w:r w:rsidRPr="00D850AC">
      <w:rPr>
        <w:noProof/>
      </w:rPr>
      <w:fldChar w:fldCharType="end"/>
    </w:r>
    <w:r w:rsidRPr="00D850AC">
      <w:tab/>
      <w:t>PE</w:t>
    </w:r>
    <w:r w:rsidRPr="00D850AC">
      <w:rPr>
        <w:rStyle w:val="HideTWBExt"/>
      </w:rPr>
      <w:t>&lt;NoPE&gt;</w:t>
    </w:r>
    <w:r w:rsidRPr="00D850AC">
      <w:t>791.932</w:t>
    </w:r>
    <w:r w:rsidRPr="00D850AC">
      <w:rPr>
        <w:rStyle w:val="HideTWBExt"/>
      </w:rPr>
      <w:t>&lt;/NoPE&gt;&lt;Version&gt;</w:t>
    </w:r>
    <w:r w:rsidRPr="00D850AC">
      <w:t>v02-00</w:t>
    </w:r>
    <w:r w:rsidRPr="00D850AC">
      <w:rPr>
        <w:rStyle w:val="HideTWBExt"/>
      </w:rPr>
      <w:t>&lt;/Version&gt;</w:t>
    </w:r>
  </w:p>
  <w:p w:rsidR="00F17D74" w:rsidRPr="00D850AC" w:rsidP="00752B89" w14:paraId="19B161A6" w14:textId="4EC34F0D">
    <w:pPr>
      <w:pStyle w:val="EPFooter2"/>
    </w:pPr>
    <w:r w:rsidRPr="00D850AC">
      <w:tab/>
    </w:r>
    <w:r w:rsidRPr="00D850AC">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2B89" w:rsidRPr="00D850AC" w:rsidP="00752B89" w14:paraId="798FD6D5" w14:textId="77777777">
    <w:pPr>
      <w:pStyle w:val="EPFooter"/>
    </w:pPr>
    <w:r w:rsidRPr="00D850AC">
      <w:rPr>
        <w:rStyle w:val="HideTWBExt"/>
      </w:rPr>
      <w:t>&lt;PathFdR&gt;</w:t>
    </w:r>
    <w:r w:rsidRPr="00D850AC">
      <w:t>RE\1352059FR.docx</w:t>
    </w:r>
    <w:r w:rsidRPr="00D850AC">
      <w:rPr>
        <w:rStyle w:val="HideTWBExt"/>
      </w:rPr>
      <w:t>&lt;/PathFdR&gt;</w:t>
    </w:r>
    <w:r w:rsidRPr="00D850AC">
      <w:tab/>
    </w:r>
    <w:r w:rsidRPr="00D850AC">
      <w:tab/>
      <w:t>PE</w:t>
    </w:r>
    <w:r w:rsidRPr="00D850AC">
      <w:rPr>
        <w:rStyle w:val="HideTWBExt"/>
      </w:rPr>
      <w:t>&lt;NoPE&gt;</w:t>
    </w:r>
    <w:r w:rsidRPr="00D850AC">
      <w:t>791.932</w:t>
    </w:r>
    <w:r w:rsidRPr="00D850AC">
      <w:rPr>
        <w:rStyle w:val="HideTWBExt"/>
      </w:rPr>
      <w:t>&lt;/NoPE&gt;&lt;Version&gt;</w:t>
    </w:r>
    <w:r w:rsidRPr="00D850AC">
      <w:t>v02-00</w:t>
    </w:r>
    <w:r w:rsidRPr="00D850AC">
      <w:rPr>
        <w:rStyle w:val="HideTWBExt"/>
      </w:rPr>
      <w:t>&lt;/Version&gt;</w:t>
    </w:r>
  </w:p>
  <w:p w:rsidR="00F17D74" w:rsidRPr="00D850AC" w:rsidP="00752B89" w14:paraId="6A1DB6CA" w14:textId="5B75504E">
    <w:pPr>
      <w:pStyle w:val="EPFooter2"/>
    </w:pPr>
    <w:r w:rsidRPr="00D850AC">
      <w:t>FR</w:t>
    </w:r>
    <w:r w:rsidRPr="00D850AC">
      <w:tab/>
    </w:r>
    <w:r w:rsidRPr="00D850AC">
      <w:rPr>
        <w:b w:val="0"/>
        <w:i/>
        <w:color w:val="C0C0C0"/>
        <w:sz w:val="22"/>
      </w:rPr>
      <w:t>Unie dans la diversité</w:t>
    </w:r>
    <w:r w:rsidRPr="00D850AC">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33F1F" w:rsidRPr="00D850AC" w14:paraId="394A4E9D" w14:textId="77777777">
      <w:r w:rsidRPr="00D850AC">
        <w:separator/>
      </w:r>
    </w:p>
  </w:footnote>
  <w:footnote w:type="continuationSeparator" w:id="1">
    <w:p w:rsidR="00033F1F" w:rsidRPr="00D850AC" w14:paraId="637644DE" w14:textId="77777777">
      <w:r w:rsidRPr="00D850AC">
        <w:continuationSeparator/>
      </w:r>
    </w:p>
  </w:footnote>
  <w:footnote w:id="2">
    <w:p w:rsidR="00252AB8" w:rsidRPr="00FC6AD8" w:rsidP="00252AB8" w14:paraId="7F84B3FE" w14:textId="5D5F1C87">
      <w:pPr>
        <w:pStyle w:val="FootnoteText"/>
        <w:ind w:left="567" w:hanging="567"/>
        <w:rPr>
          <w:lang w:val="da-DK"/>
        </w:rPr>
      </w:pPr>
      <w:r>
        <w:rPr>
          <w:rStyle w:val="FootnoteReference"/>
        </w:rPr>
        <w:footnoteRef/>
      </w:r>
      <w:r w:rsidRPr="00FC6AD8">
        <w:rPr>
          <w:lang w:val="da-DK"/>
        </w:rPr>
        <w:t xml:space="preserve"> </w:t>
      </w:r>
      <w:r w:rsidRPr="00FC6AD8">
        <w:rPr>
          <w:lang w:val="da-DK"/>
        </w:rPr>
        <w:tab/>
        <w:t>JO L 404 du 30.12.2006, p. 26, ELI: </w:t>
      </w:r>
      <w:hyperlink r:id="rId1" w:tooltip="Permet d’accéder à ce document par l’intermédiaire de son URI ELI." w:history="1">
        <w:r w:rsidRPr="00FC6AD8">
          <w:rPr>
            <w:rStyle w:val="Hyperlink"/>
            <w:lang w:val="da-DK"/>
          </w:rPr>
          <w:t>http://data.europa.eu/eli/reg/2006/1925/oj</w:t>
        </w:r>
      </w:hyperlink>
      <w:r w:rsidRPr="00FC6AD8">
        <w:rPr>
          <w:lang w:val="da-DK"/>
        </w:rPr>
        <w:t>.</w:t>
      </w:r>
    </w:p>
  </w:footnote>
  <w:footnote w:id="3">
    <w:p w:rsidR="00252AB8" w:rsidRPr="00FC6AD8" w:rsidP="00252AB8" w14:paraId="20FA1C80" w14:textId="4E8EC137">
      <w:pPr>
        <w:pStyle w:val="FootnoteText"/>
        <w:ind w:left="567" w:hanging="567"/>
        <w:rPr>
          <w:lang w:val="da-DK"/>
        </w:rPr>
      </w:pPr>
      <w:r>
        <w:rPr>
          <w:rStyle w:val="FootnoteReference"/>
        </w:rPr>
        <w:footnoteRef/>
      </w:r>
      <w:r w:rsidRPr="00FC6AD8">
        <w:rPr>
          <w:lang w:val="da-DK"/>
        </w:rPr>
        <w:t xml:space="preserve"> </w:t>
      </w:r>
      <w:r w:rsidRPr="00FC6AD8">
        <w:rPr>
          <w:lang w:val="da-DK"/>
        </w:rPr>
        <w:tab/>
        <w:t>JO L 184 du 17.7.1999, p. 23, ELI: </w:t>
      </w:r>
      <w:hyperlink r:id="rId2" w:history="1">
        <w:r w:rsidRPr="00FC6AD8">
          <w:rPr>
            <w:rStyle w:val="Hyperlink"/>
            <w:lang w:val="da-DK"/>
          </w:rPr>
          <w:t>http://data.europa.eu/eli/dec/1999/468/oj</w:t>
        </w:r>
      </w:hyperlink>
      <w:r w:rsidRPr="00FC6AD8">
        <w:rPr>
          <w:lang w:val="da-DK"/>
        </w:rPr>
        <w:t>.</w:t>
      </w:r>
    </w:p>
  </w:footnote>
  <w:footnote w:id="4">
    <w:p w:rsidR="00252AB8" w:rsidRPr="00D850AC" w:rsidP="00252AB8" w14:paraId="36241A44" w14:textId="26A3D903">
      <w:pPr>
        <w:pStyle w:val="FootnoteText"/>
        <w:ind w:left="567" w:hanging="567"/>
      </w:pPr>
      <w:r>
        <w:rPr>
          <w:rStyle w:val="FootnoteReference"/>
        </w:rPr>
        <w:footnoteRef/>
      </w:r>
      <w:r>
        <w:tab/>
        <w:t>Règlement (UE) nº 2021/468 de la Commission du 18 mars 2021 modifiant l’annexe III du règlement (CE) nº 1925/2006 en ce qui concerne les espèces végétales contenant des dérivés hydroxyanthracéniques (JO L 96 du 19.3.2021, p. 6., ELI: </w:t>
      </w:r>
      <w:hyperlink r:id="rId3" w:tooltip="Permet d’accéder à ce document par l’intermédiaire de son URI ELI." w:history="1">
        <w:r>
          <w:rPr>
            <w:rStyle w:val="Hyperlink"/>
          </w:rPr>
          <w:t>http://data.europa.eu/eli/reg/2021/468/oj</w:t>
        </w:r>
      </w:hyperlink>
      <w:r>
        <w:t>).</w:t>
      </w:r>
    </w:p>
  </w:footnote>
  <w:footnote w:id="5">
    <w:p w:rsidR="00252AB8" w:rsidRPr="00FC6AD8" w:rsidP="00252AB8" w14:paraId="22106C49" w14:textId="1AC6148D">
      <w:pPr>
        <w:pStyle w:val="FootnoteText"/>
        <w:ind w:left="567" w:hanging="567"/>
        <w:rPr>
          <w:lang w:val="en-GB"/>
        </w:rPr>
      </w:pPr>
      <w:r>
        <w:rPr>
          <w:rStyle w:val="FootnoteReference"/>
        </w:rPr>
        <w:footnoteRef/>
      </w:r>
      <w:r w:rsidRPr="00FC6AD8">
        <w:rPr>
          <w:lang w:val="en-GB"/>
        </w:rPr>
        <w:t xml:space="preserve"> </w:t>
      </w:r>
      <w:r w:rsidRPr="00FC6AD8">
        <w:rPr>
          <w:lang w:val="en-GB"/>
        </w:rPr>
        <w:tab/>
        <w:t xml:space="preserve">EFSA «Scientific Opinion on the safety of hydroxyanthracene derivatives for use in food», </w:t>
      </w:r>
      <w:r w:rsidRPr="00FC6AD8">
        <w:rPr>
          <w:i/>
          <w:lang w:val="en-GB"/>
        </w:rPr>
        <w:t>EFSA Journal,</w:t>
      </w:r>
      <w:r w:rsidRPr="00FC6AD8">
        <w:rPr>
          <w:lang w:val="en-GB"/>
        </w:rPr>
        <w:t xml:space="preserve"> 2018, 16(1):e5090, </w:t>
      </w:r>
      <w:hyperlink r:id="rId4" w:history="1">
        <w:r w:rsidRPr="00FC6AD8">
          <w:rPr>
            <w:rStyle w:val="Hyperlink"/>
            <w:lang w:val="en-GB"/>
          </w:rPr>
          <w:t>https://doi.org/10.2903/j.efsa.2018.5090</w:t>
        </w:r>
      </w:hyperlink>
      <w:r w:rsidRPr="00FC6AD8">
        <w:rPr>
          <w:lang w:val="en-GB"/>
        </w:rPr>
        <w:t>.</w:t>
      </w:r>
    </w:p>
  </w:footnote>
  <w:footnote w:id="6">
    <w:p w:rsidR="00252AB8" w:rsidRPr="00D850AC" w:rsidP="00252AB8" w14:paraId="6B16EE3B" w14:textId="77777777">
      <w:pPr>
        <w:pStyle w:val="FootnoteText"/>
        <w:ind w:left="567" w:hanging="567"/>
      </w:pPr>
      <w:r>
        <w:rPr>
          <w:rStyle w:val="FootnoteReference"/>
        </w:rPr>
        <w:footnoteRef/>
      </w:r>
      <w:r>
        <w:t xml:space="preserve"> </w:t>
      </w:r>
      <w:r>
        <w:tab/>
        <w:t xml:space="preserve">Arrêt du Tribunal du 13 novembre 2024, </w:t>
      </w:r>
      <w:r>
        <w:rPr>
          <w:i/>
          <w:iCs/>
        </w:rPr>
        <w:t>Aloe Vera of Europe/Commission</w:t>
      </w:r>
      <w:r>
        <w:t xml:space="preserve">, affaire T-189/21, ECLI:EU:T:2024:802; </w:t>
      </w:r>
      <w:r>
        <w:rPr>
          <w:i/>
          <w:iCs/>
        </w:rPr>
        <w:t>Ortis/Commission</w:t>
      </w:r>
      <w:r>
        <w:t xml:space="preserve">, T-271/21, ECLI:EU:T:2024:804; </w:t>
      </w:r>
      <w:r>
        <w:rPr>
          <w:i/>
          <w:iCs/>
        </w:rPr>
        <w:t>Synadiet e.a./Commission</w:t>
      </w:r>
      <w:r>
        <w:t xml:space="preserve">, T-274/21, ECLI:EU:T:2024:806; et </w:t>
      </w:r>
      <w:r>
        <w:rPr>
          <w:i/>
          <w:iCs/>
        </w:rPr>
        <w:t>Aboca e.a./Commission</w:t>
      </w:r>
      <w:r>
        <w:t>, T-302/21, ECLI:EU:T:2024:808.</w:t>
      </w:r>
    </w:p>
  </w:footnote>
  <w:footnote w:id="7">
    <w:p w:rsidR="00252AB8" w:rsidRPr="00FC6AD8" w:rsidP="00252AB8" w14:paraId="69BE32BC" w14:textId="2E9A2A01">
      <w:pPr>
        <w:pStyle w:val="FootnoteText"/>
        <w:ind w:left="567" w:hanging="567"/>
        <w:rPr>
          <w:lang w:val="da-DK"/>
        </w:rPr>
      </w:pPr>
      <w:r>
        <w:rPr>
          <w:rStyle w:val="FootnoteReference"/>
        </w:rPr>
        <w:footnoteRef/>
      </w:r>
      <w:r w:rsidRPr="00FC6AD8">
        <w:rPr>
          <w:lang w:val="da-DK"/>
        </w:rPr>
        <w:t xml:space="preserve"> </w:t>
      </w:r>
      <w:r w:rsidRPr="00FC6AD8">
        <w:rPr>
          <w:lang w:val="da-DK"/>
        </w:rPr>
        <w:tab/>
        <w:t>JO L 31 du 1.2.2002, p. 1, ELI: </w:t>
      </w:r>
      <w:hyperlink r:id="rId5" w:tooltip="Permet d’accéder à ce document par l’intermédiaire de son URI ELI." w:history="1">
        <w:r w:rsidRPr="00FC6AD8">
          <w:rPr>
            <w:rStyle w:val="Hyperlink"/>
            <w:lang w:val="da-DK"/>
          </w:rPr>
          <w:t>http://data.europa.eu/eli/reg/2002/178/oj</w:t>
        </w:r>
      </w:hyperlink>
      <w:r w:rsidRPr="00FC6AD8">
        <w:rPr>
          <w:lang w:val="da-D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82B" w14:paraId="48D036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82B" w14:paraId="5541818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82B" w14:paraId="45276E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36226E40"/>
    <w:multiLevelType w:val="hybridMultilevel"/>
    <w:tmpl w:val="1304BFD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37"/>
    <w:rsid w:val="00005AFD"/>
    <w:rsid w:val="00033F1F"/>
    <w:rsid w:val="000421DE"/>
    <w:rsid w:val="000604BB"/>
    <w:rsid w:val="00063389"/>
    <w:rsid w:val="000C31C5"/>
    <w:rsid w:val="000C7B89"/>
    <w:rsid w:val="000D04C9"/>
    <w:rsid w:val="000D6F75"/>
    <w:rsid w:val="000E37F6"/>
    <w:rsid w:val="000F1377"/>
    <w:rsid w:val="000F617C"/>
    <w:rsid w:val="00105F8B"/>
    <w:rsid w:val="00140F00"/>
    <w:rsid w:val="00152F37"/>
    <w:rsid w:val="00161525"/>
    <w:rsid w:val="001E693A"/>
    <w:rsid w:val="001F3619"/>
    <w:rsid w:val="00203489"/>
    <w:rsid w:val="00211FEF"/>
    <w:rsid w:val="00221D66"/>
    <w:rsid w:val="00252AB8"/>
    <w:rsid w:val="002B750B"/>
    <w:rsid w:val="002B7718"/>
    <w:rsid w:val="002C3D5E"/>
    <w:rsid w:val="00307387"/>
    <w:rsid w:val="0035784B"/>
    <w:rsid w:val="003A0210"/>
    <w:rsid w:val="003A4E29"/>
    <w:rsid w:val="003C19D7"/>
    <w:rsid w:val="003E1780"/>
    <w:rsid w:val="00421B2C"/>
    <w:rsid w:val="0042562D"/>
    <w:rsid w:val="00441432"/>
    <w:rsid w:val="00442277"/>
    <w:rsid w:val="00470006"/>
    <w:rsid w:val="00474484"/>
    <w:rsid w:val="00490E44"/>
    <w:rsid w:val="00494922"/>
    <w:rsid w:val="004B2734"/>
    <w:rsid w:val="004F1334"/>
    <w:rsid w:val="0051328C"/>
    <w:rsid w:val="005203BD"/>
    <w:rsid w:val="00525C58"/>
    <w:rsid w:val="00560477"/>
    <w:rsid w:val="00560E87"/>
    <w:rsid w:val="005610C7"/>
    <w:rsid w:val="00586147"/>
    <w:rsid w:val="00593BD5"/>
    <w:rsid w:val="00594254"/>
    <w:rsid w:val="005C01A1"/>
    <w:rsid w:val="005C5E30"/>
    <w:rsid w:val="005E0BC3"/>
    <w:rsid w:val="005E2A94"/>
    <w:rsid w:val="005F6E94"/>
    <w:rsid w:val="006008EF"/>
    <w:rsid w:val="00615B88"/>
    <w:rsid w:val="00690EB2"/>
    <w:rsid w:val="006B7C1A"/>
    <w:rsid w:val="006C10F3"/>
    <w:rsid w:val="006D2B61"/>
    <w:rsid w:val="006E20AA"/>
    <w:rsid w:val="006E2B00"/>
    <w:rsid w:val="00705453"/>
    <w:rsid w:val="00733C9B"/>
    <w:rsid w:val="00743556"/>
    <w:rsid w:val="00752B89"/>
    <w:rsid w:val="007560B9"/>
    <w:rsid w:val="00765B61"/>
    <w:rsid w:val="0076670B"/>
    <w:rsid w:val="00786EDA"/>
    <w:rsid w:val="007974DD"/>
    <w:rsid w:val="0079751B"/>
    <w:rsid w:val="007A24EB"/>
    <w:rsid w:val="007B50DB"/>
    <w:rsid w:val="008231A6"/>
    <w:rsid w:val="00824B90"/>
    <w:rsid w:val="008522D1"/>
    <w:rsid w:val="00871F3D"/>
    <w:rsid w:val="0087593A"/>
    <w:rsid w:val="008C5A7F"/>
    <w:rsid w:val="008D5FD9"/>
    <w:rsid w:val="008D6746"/>
    <w:rsid w:val="008E4163"/>
    <w:rsid w:val="008F5FC6"/>
    <w:rsid w:val="00916BC3"/>
    <w:rsid w:val="00920E12"/>
    <w:rsid w:val="00924E70"/>
    <w:rsid w:val="00965E37"/>
    <w:rsid w:val="00987549"/>
    <w:rsid w:val="0099682B"/>
    <w:rsid w:val="009A1B70"/>
    <w:rsid w:val="009A7755"/>
    <w:rsid w:val="009C7A2E"/>
    <w:rsid w:val="00A64D80"/>
    <w:rsid w:val="00A93F71"/>
    <w:rsid w:val="00AB2D44"/>
    <w:rsid w:val="00AC22E8"/>
    <w:rsid w:val="00AC3545"/>
    <w:rsid w:val="00AD32D4"/>
    <w:rsid w:val="00AF1D6D"/>
    <w:rsid w:val="00B07715"/>
    <w:rsid w:val="00B13BF7"/>
    <w:rsid w:val="00B3388B"/>
    <w:rsid w:val="00B414CC"/>
    <w:rsid w:val="00B502D5"/>
    <w:rsid w:val="00B65E68"/>
    <w:rsid w:val="00B86A26"/>
    <w:rsid w:val="00C03AB9"/>
    <w:rsid w:val="00C51820"/>
    <w:rsid w:val="00C966C7"/>
    <w:rsid w:val="00CA0C53"/>
    <w:rsid w:val="00CB3A89"/>
    <w:rsid w:val="00CE526D"/>
    <w:rsid w:val="00D32B3B"/>
    <w:rsid w:val="00D462E2"/>
    <w:rsid w:val="00D60FF7"/>
    <w:rsid w:val="00D850AC"/>
    <w:rsid w:val="00D90D8D"/>
    <w:rsid w:val="00DF4E26"/>
    <w:rsid w:val="00E044AD"/>
    <w:rsid w:val="00E30073"/>
    <w:rsid w:val="00E323D6"/>
    <w:rsid w:val="00E435BC"/>
    <w:rsid w:val="00E47ABC"/>
    <w:rsid w:val="00E5592E"/>
    <w:rsid w:val="00E82C9D"/>
    <w:rsid w:val="00E93DB3"/>
    <w:rsid w:val="00EA074A"/>
    <w:rsid w:val="00EC27ED"/>
    <w:rsid w:val="00EE5A75"/>
    <w:rsid w:val="00EE7AF5"/>
    <w:rsid w:val="00EF4F51"/>
    <w:rsid w:val="00EF6FC0"/>
    <w:rsid w:val="00F17D74"/>
    <w:rsid w:val="00F67498"/>
    <w:rsid w:val="00F75D46"/>
    <w:rsid w:val="00F86E8D"/>
    <w:rsid w:val="00F9151F"/>
    <w:rsid w:val="00FA1408"/>
    <w:rsid w:val="00FB273F"/>
    <w:rsid w:val="00FC6AD8"/>
    <w:rsid w:val="00FF35E8"/>
  </w:rsids>
  <w:docVars>
    <w:docVar w:name="ACTMNU" w:val=" 1"/>
    <w:docVar w:name="AUTHORMNU" w:val=" 1"/>
    <w:docVar w:name="COMKEY" w:val="ENVI"/>
    <w:docVar w:name="DOCDT" w:val="24/08/2026"/>
    <w:docVar w:name="DOCMNU" w:val=" 1"/>
    <w:docVar w:name="DOCTYPEMNU" w:val="1"/>
    <w:docVar w:name="INSTMNU" w:val=" 1"/>
    <w:docVar w:name="LastEditedSection" w:val=" 1"/>
    <w:docVar w:name="strSubDir" w:val="1352"/>
    <w:docVar w:name="TXTFNELI" w:val="111"/>
    <w:docVar w:name="TXTLANGUE" w:val="FR"/>
    <w:docVar w:name="TXTLANGUEMIN" w:val="fr"/>
    <w:docVar w:name="TXTNRB" w:val="0465/2026"/>
    <w:docVar w:name="TXTNRD" w:val="099926/03"/>
    <w:docVar w:name="TXTNRPE" w:val="791.932"/>
    <w:docVar w:name="TXTNRREG" w:val="(EC) No 1925/2006"/>
    <w:docVar w:name="TXTNRRPS" w:val="2026/2839"/>
    <w:docVar w:name="TXTPEorAP" w:val="PE"/>
    <w:docVar w:name="TXTROUTE" w:val="RE\1352059FR.docx"/>
    <w:docVar w:name="TXTTITLE" w:val="xxx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0CBEC16-5FA3-47DD-919F-982CD106E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A2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F00"/>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AF1D6D"/>
    <w:pPr>
      <w:spacing w:after="240"/>
      <w:ind w:left="1418"/>
    </w:pPr>
  </w:style>
  <w:style w:type="paragraph" w:customStyle="1" w:styleId="CoverNormal24a">
    <w:name w:val="CoverNormal24a"/>
    <w:basedOn w:val="Normal"/>
    <w:rsid w:val="00AF1D6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B2734"/>
    <w:pPr>
      <w:spacing w:before="1080"/>
      <w:jc w:val="right"/>
    </w:pPr>
    <w:rPr>
      <w:rFonts w:ascii="Arial" w:hAnsi="Arial" w:cs="Arial"/>
      <w:b/>
    </w:rPr>
  </w:style>
  <w:style w:type="paragraph" w:customStyle="1" w:styleId="CoverDocType24a">
    <w:name w:val="CoverDocType24a"/>
    <w:basedOn w:val="Normal"/>
    <w:rsid w:val="001F3619"/>
    <w:pPr>
      <w:spacing w:after="480"/>
      <w:ind w:left="1418"/>
    </w:pPr>
    <w:rPr>
      <w:rFonts w:ascii="Arial" w:hAnsi="Arial"/>
      <w:b/>
      <w:sz w:val="48"/>
    </w:rPr>
  </w:style>
  <w:style w:type="paragraph" w:styleId="Header">
    <w:name w:val="header"/>
    <w:basedOn w:val="Normal"/>
    <w:link w:val="HeaderChar"/>
    <w:semiHidden/>
    <w:rsid w:val="008D6746"/>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B2734"/>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AF1D6D"/>
    <w:pPr>
      <w:spacing w:after="480"/>
      <w:ind w:left="1418"/>
    </w:pPr>
    <w:rPr>
      <w:b/>
    </w:rPr>
  </w:style>
  <w:style w:type="paragraph" w:customStyle="1" w:styleId="EPName">
    <w:name w:val="EPName"/>
    <w:basedOn w:val="Normal"/>
    <w:rsid w:val="00494922"/>
    <w:pPr>
      <w:spacing w:before="80" w:after="80"/>
    </w:pPr>
    <w:rPr>
      <w:rFonts w:ascii="Arial Narrow" w:hAnsi="Arial Narrow" w:cs="Arial"/>
      <w:b/>
      <w:sz w:val="32"/>
      <w:szCs w:val="22"/>
    </w:rPr>
  </w:style>
  <w:style w:type="paragraph" w:customStyle="1" w:styleId="EPTerm">
    <w:name w:val="EPTerm"/>
    <w:basedOn w:val="Normal"/>
    <w:next w:val="Normal"/>
    <w:rsid w:val="00494922"/>
    <w:pPr>
      <w:spacing w:after="80"/>
    </w:pPr>
    <w:rPr>
      <w:rFonts w:ascii="Arial" w:hAnsi="Arial" w:cs="Arial"/>
      <w:sz w:val="20"/>
      <w:szCs w:val="22"/>
    </w:rPr>
  </w:style>
  <w:style w:type="paragraph" w:customStyle="1" w:styleId="EPLogo">
    <w:name w:val="EPLogo"/>
    <w:basedOn w:val="Normal"/>
    <w:qFormat/>
    <w:rsid w:val="00494922"/>
    <w:pPr>
      <w:jc w:val="right"/>
    </w:pPr>
  </w:style>
  <w:style w:type="paragraph" w:customStyle="1" w:styleId="CoverDate">
    <w:name w:val="CoverDate"/>
    <w:basedOn w:val="Normal"/>
    <w:rsid w:val="004B2734"/>
    <w:pPr>
      <w:spacing w:before="240" w:after="1200"/>
    </w:pPr>
  </w:style>
  <w:style w:type="paragraph" w:customStyle="1" w:styleId="EPFooter">
    <w:name w:val="EPFooter"/>
    <w:basedOn w:val="Normal"/>
    <w:rsid w:val="001F361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D6746"/>
    <w:rPr>
      <w:sz w:val="24"/>
    </w:rPr>
  </w:style>
  <w:style w:type="paragraph" w:styleId="FootnoteText">
    <w:name w:val="footnote text"/>
    <w:basedOn w:val="Normal"/>
    <w:link w:val="FootnoteTextChar"/>
    <w:rsid w:val="005C5E30"/>
    <w:rPr>
      <w:sz w:val="20"/>
    </w:rPr>
  </w:style>
  <w:style w:type="character" w:customStyle="1" w:styleId="FootnoteTextChar">
    <w:name w:val="Footnote Text Char"/>
    <w:basedOn w:val="DefaultParagraphFont"/>
    <w:link w:val="FootnoteText"/>
    <w:rsid w:val="005C5E30"/>
  </w:style>
  <w:style w:type="character" w:styleId="FootnoteReference">
    <w:name w:val="footnote reference"/>
    <w:basedOn w:val="DefaultParagraphFont"/>
    <w:rsid w:val="005C5E30"/>
    <w:rPr>
      <w:vertAlign w:val="superscript"/>
    </w:rPr>
  </w:style>
  <w:style w:type="character" w:styleId="Hyperlink">
    <w:name w:val="Hyperlink"/>
    <w:basedOn w:val="DefaultParagraphFont"/>
    <w:rsid w:val="005C5E30"/>
    <w:rPr>
      <w:color w:val="0563C1" w:themeColor="hyperlink"/>
      <w:u w:val="single"/>
    </w:rPr>
  </w:style>
  <w:style w:type="character" w:customStyle="1" w:styleId="UnresolvedMention">
    <w:name w:val="Unresolved Mention"/>
    <w:basedOn w:val="DefaultParagraphFont"/>
    <w:uiPriority w:val="99"/>
    <w:semiHidden/>
    <w:unhideWhenUsed/>
    <w:rsid w:val="005C5E30"/>
    <w:rPr>
      <w:color w:val="605E5C"/>
      <w:shd w:val="clear" w:color="auto" w:fill="E1DFDD"/>
    </w:rPr>
  </w:style>
  <w:style w:type="paragraph" w:styleId="Footer">
    <w:name w:val="footer"/>
    <w:basedOn w:val="Normal"/>
    <w:link w:val="FooterChar"/>
    <w:semiHidden/>
    <w:rsid w:val="008C5A7F"/>
    <w:pPr>
      <w:tabs>
        <w:tab w:val="center" w:pos="4513"/>
        <w:tab w:val="right" w:pos="9026"/>
      </w:tabs>
    </w:pPr>
  </w:style>
  <w:style w:type="character" w:customStyle="1" w:styleId="FooterChar">
    <w:name w:val="Footer Char"/>
    <w:basedOn w:val="DefaultParagraphFont"/>
    <w:link w:val="Footer"/>
    <w:semiHidden/>
    <w:rsid w:val="008C5A7F"/>
    <w:rPr>
      <w:sz w:val="24"/>
    </w:rPr>
  </w:style>
  <w:style w:type="paragraph" w:styleId="Revision">
    <w:name w:val="Revision"/>
    <w:hidden/>
    <w:uiPriority w:val="99"/>
    <w:semiHidden/>
    <w:rsid w:val="00252A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6/1925/oj" TargetMode="External" /><Relationship Id="rId2" Type="http://schemas.openxmlformats.org/officeDocument/2006/relationships/hyperlink" Target="http://data.europa.eu/eli/dec/1999/468/oj" TargetMode="External" /><Relationship Id="rId3" Type="http://schemas.openxmlformats.org/officeDocument/2006/relationships/hyperlink" Target="http://data.europa.eu/eli/reg/2021/468/oj" TargetMode="External" /><Relationship Id="rId4" Type="http://schemas.openxmlformats.org/officeDocument/2006/relationships/hyperlink" Target="https://doi.org/10.2903/j.efsa.2018.5090" TargetMode="External" /><Relationship Id="rId5" Type="http://schemas.openxmlformats.org/officeDocument/2006/relationships/hyperlink" Target="http://data.europa.eu/eli/reg/2002/178/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RE_RegProc_Objections</vt:lpstr>
    </vt:vector>
  </TitlesOfParts>
  <Company/>
  <LinksUpToDate>false</LinksUpToDate>
  <CharactersWithSpaces>11536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RD_RegProc_Objections</dc:title>
  <dc:creator>European Parliament</dc:creator>
  <cp:lastModifiedBy>European Parliament</cp:lastModifiedBy>
  <cp:revision>2</cp:revision>
  <cp:lastPrinted>2004-11-19T15:29:00Z</cp:lastPrinted>
  <dcterms:created xsi:type="dcterms:W3CDTF">2026-10-07T09:49:00Z</dcterms:created>
  <dcterms:modified xsi:type="dcterms:W3CDTF">2026-10-07T09:49:00Z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1352059</vt:lpwstr>
  </property>
  <property fmtid="{D5CDD505-2E9C-101B-9397-08002B2CF9AE}" pid="4" name="&lt;Model&gt;">
    <vt:lpwstr>RD_RegProc_Objections</vt:lpwstr>
  </property>
  <property fmtid="{D5CDD505-2E9C-101B-9397-08002B2CF9AE}" pid="5" name="&lt;ModelCod&gt;">
    <vt:lpwstr>\\eiciBRUpr1\pdocep$\DocEP\DOCS\General\RD\RD_ImplAct\RD_RegProc_Objections.dotx(01/07/2024 16:20:04)</vt:lpwstr>
  </property>
  <property fmtid="{D5CDD505-2E9C-101B-9397-08002B2CF9AE}" pid="6" name="&lt;ModelTra&gt;">
    <vt:lpwstr>\\eiciBRUpr1\pdocep$\DocEP\TRANSFIL\EN\RD_RegProc_Objections.EN(06/03/2026 11:03:03)</vt:lpwstr>
  </property>
  <property fmtid="{D5CDD505-2E9C-101B-9397-08002B2CF9AE}" pid="7" name="&lt;Type&gt;">
    <vt:lpwstr>RE</vt:lpwstr>
  </property>
  <property fmtid="{D5CDD505-2E9C-101B-9397-08002B2CF9AE}" pid="8" name="Bookout">
    <vt:lpwstr>OK - 2026/10/06 09:51</vt:lpwstr>
  </property>
  <property fmtid="{D5CDD505-2E9C-101B-9397-08002B2CF9AE}" pid="9" name="Created with">
    <vt:lpwstr>10.3.1 Build [20260701]</vt:lpwstr>
  </property>
  <property fmtid="{D5CDD505-2E9C-101B-9397-08002B2CF9AE}" pid="10" name="FooterPath">
    <vt:lpwstr>RE\1352059FR.docx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791.932</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