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A87B16F"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C42E76" w:rsidP="00C85D0F" w14:paraId="744D77AD" w14:textId="06B5F363">
            <w:pPr>
              <w:pStyle w:val="EPName"/>
            </w:pPr>
            <w:r w:rsidRPr="00C42E76">
              <w:t>European Parliament</w:t>
            </w:r>
          </w:p>
          <w:p w:rsidR="008F5EFB" w:rsidRPr="00C42E76" w:rsidP="00C85D0F" w14:paraId="5AF52593" w14:textId="64A40238">
            <w:pPr>
              <w:pStyle w:val="EPTerm"/>
            </w:pPr>
            <w:r w:rsidRPr="00C42E76">
              <w:t>2024-2029</w:t>
            </w:r>
          </w:p>
        </w:tc>
        <w:tc>
          <w:tcPr>
            <w:tcW w:w="2268" w:type="dxa"/>
          </w:tcPr>
          <w:p w:rsidR="008F5EFB" w:rsidRPr="00C42E76" w:rsidP="00C85D0F" w14:paraId="09AF70D1" w14:textId="77777777">
            <w:pPr>
              <w:pStyle w:val="EPLogo"/>
            </w:pPr>
            <w:r w:rsidRPr="00C42E7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091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C42E76" w:rsidP="00E53167" w14:paraId="32AEA8F2" w14:textId="77777777">
      <w:pPr>
        <w:pStyle w:val="LineTop"/>
      </w:pPr>
    </w:p>
    <w:p w:rsidR="00E53167" w:rsidRPr="00C42E76" w:rsidP="00E53167" w14:paraId="71941989" w14:textId="4DFB4EDC">
      <w:pPr>
        <w:pStyle w:val="EPBody"/>
      </w:pPr>
      <w:r w:rsidRPr="00C42E76">
        <w:t>Plenary sitting</w:t>
      </w:r>
    </w:p>
    <w:p w:rsidR="00094DDA" w:rsidRPr="00C42E76" w:rsidP="00094DDA" w14:paraId="59A4A3DD" w14:textId="77777777">
      <w:pPr>
        <w:pStyle w:val="LineBottom"/>
      </w:pPr>
    </w:p>
    <w:p w:rsidR="00094DDA" w:rsidRPr="00C42E76" w:rsidP="00094DDA" w14:paraId="1C2F424F" w14:textId="25F9F08C">
      <w:pPr>
        <w:pStyle w:val="CoverReference"/>
      </w:pPr>
      <w:r w:rsidRPr="00C42E76">
        <w:rPr>
          <w:rStyle w:val="HideTWBExt"/>
          <w:b w:val="0"/>
        </w:rPr>
        <w:t>&lt;NoDocSe&gt;</w:t>
      </w:r>
      <w:r w:rsidRPr="00C42E76" w:rsidR="00BB14E5">
        <w:t>B10</w:t>
      </w:r>
      <w:r w:rsidRPr="00C42E76" w:rsidR="00BB14E5">
        <w:noBreakHyphen/>
        <w:t>0478/2026</w:t>
      </w:r>
      <w:r w:rsidRPr="00C42E76">
        <w:rPr>
          <w:rStyle w:val="HideTWBExt"/>
          <w:b w:val="0"/>
        </w:rPr>
        <w:t>&lt;/NoDocSe&gt;</w:t>
      </w:r>
    </w:p>
    <w:p w:rsidR="00094DDA" w:rsidRPr="00C42E76" w:rsidP="00094DDA" w14:paraId="5C0F8F30" w14:textId="7C1758DB">
      <w:pPr>
        <w:pStyle w:val="CoverDate"/>
      </w:pPr>
      <w:r w:rsidRPr="00C42E76">
        <w:rPr>
          <w:rStyle w:val="HideTWBExt"/>
        </w:rPr>
        <w:t>&lt;Date&gt;</w:t>
      </w:r>
      <w:r w:rsidRPr="00C42E76" w:rsidR="00BB14E5">
        <w:rPr>
          <w:rStyle w:val="HideTWBInt"/>
        </w:rPr>
        <w:t>{19/10/2026}</w:t>
      </w:r>
      <w:r w:rsidRPr="00C42E76" w:rsidR="00BB14E5">
        <w:t>19.10.2026</w:t>
      </w:r>
      <w:r w:rsidRPr="00C42E76">
        <w:rPr>
          <w:rStyle w:val="HideTWBExt"/>
        </w:rPr>
        <w:t>&lt;/Date&gt;</w:t>
      </w:r>
    </w:p>
    <w:p w:rsidR="00814BC6" w:rsidRPr="00C42E76" w14:paraId="5BF51102" w14:textId="3CA4368C">
      <w:pPr>
        <w:pStyle w:val="CoverDocType24a"/>
      </w:pPr>
      <w:r w:rsidRPr="00C42E76">
        <w:rPr>
          <w:rStyle w:val="HideTWBExt"/>
          <w:b w:val="0"/>
        </w:rPr>
        <w:t>&lt;TitreType&gt;</w:t>
      </w:r>
      <w:r w:rsidRPr="00C42E76" w:rsidR="00BB14E5">
        <w:t>MOTION FOR A RESOLUTION</w:t>
      </w:r>
      <w:r w:rsidRPr="00C42E76">
        <w:rPr>
          <w:rStyle w:val="HideTWBExt"/>
          <w:b w:val="0"/>
        </w:rPr>
        <w:t>&lt;/TitreType&gt;</w:t>
      </w:r>
    </w:p>
    <w:p w:rsidR="00814BC6" w:rsidRPr="00C42E76" w14:paraId="639A5B22" w14:textId="1DD5D8CA">
      <w:pPr>
        <w:pStyle w:val="CoverNormal12a"/>
      </w:pPr>
      <w:r w:rsidRPr="00C42E76">
        <w:rPr>
          <w:rStyle w:val="HideTWBExt"/>
        </w:rPr>
        <w:t>&lt;TitreSuite&gt;</w:t>
      </w:r>
      <w:r w:rsidRPr="00C42E76" w:rsidR="001B4E56">
        <w:t xml:space="preserve">to wind up the debate on </w:t>
      </w:r>
      <w:r w:rsidRPr="00C42E76" w:rsidR="00BB14E5">
        <w:t>the statement by the Vice-President of the Commission / High Representative of the Union for Foreign Affairs and Security Policy</w:t>
      </w:r>
      <w:r w:rsidRPr="00C42E76">
        <w:rPr>
          <w:rStyle w:val="HideTWBExt"/>
        </w:rPr>
        <w:t>&lt;/TitreSuite&gt;</w:t>
      </w:r>
    </w:p>
    <w:p w:rsidR="00814BC6" w:rsidRPr="00C42E76" w14:paraId="33A70649" w14:textId="1AD67082">
      <w:pPr>
        <w:pStyle w:val="CoverNormal12a"/>
      </w:pPr>
      <w:r w:rsidRPr="00C42E76">
        <w:rPr>
          <w:rStyle w:val="HideTWBExt"/>
        </w:rPr>
        <w:t>&lt;TitreRecueil&gt;</w:t>
      </w:r>
      <w:r w:rsidRPr="00C42E76" w:rsidR="001B4E56">
        <w:t>pursuant to Rule 136(2) of the Rules of Procedure</w:t>
      </w:r>
      <w:r w:rsidRPr="00C42E76">
        <w:rPr>
          <w:rStyle w:val="HideTWBExt"/>
        </w:rPr>
        <w:t>&lt;/TitreRecueil&gt;</w:t>
      </w:r>
    </w:p>
    <w:p w:rsidR="00C23264" w:rsidRPr="00C42E76" w:rsidP="00C23264" w14:paraId="29A8FDAE" w14:textId="3DBA7AA6">
      <w:pPr>
        <w:pStyle w:val="CoverNormal"/>
      </w:pPr>
      <w:r w:rsidRPr="00C42E76">
        <w:rPr>
          <w:rStyle w:val="HideTWBExt"/>
        </w:rPr>
        <w:t>&lt;Titre&gt;</w:t>
      </w:r>
      <w:r w:rsidRPr="00C42E76" w:rsidR="001B4E56">
        <w:t xml:space="preserve">on </w:t>
      </w:r>
      <w:r w:rsidRPr="00C42E76" w:rsidR="00BB14E5">
        <w:t>the escalation of Russian strikes in the EU, particularly on Black Sea shipping, threatening human life, regional stability and food security</w:t>
      </w:r>
      <w:r w:rsidRPr="00C42E76">
        <w:rPr>
          <w:rStyle w:val="HideTWBExt"/>
        </w:rPr>
        <w:t>&lt;/Titre&gt;</w:t>
      </w:r>
    </w:p>
    <w:p w:rsidR="00C23264" w:rsidRPr="00C42E76" w:rsidP="00C23264" w14:paraId="5318C9E9" w14:textId="7E9CA009">
      <w:pPr>
        <w:pStyle w:val="CoverNormal24a"/>
      </w:pPr>
      <w:r w:rsidRPr="00C42E76">
        <w:rPr>
          <w:rStyle w:val="HideTWBExt"/>
        </w:rPr>
        <w:t>&lt;DocRef&gt;</w:t>
      </w:r>
      <w:r w:rsidRPr="00C42E76" w:rsidR="001B4E56">
        <w:t>(</w:t>
      </w:r>
      <w:r w:rsidRPr="00C42E76" w:rsidR="00BB14E5">
        <w:t>2026/2933</w:t>
      </w:r>
      <w:r w:rsidRPr="00C42E76" w:rsidR="001B4E56">
        <w:t>(RSP))</w:t>
      </w:r>
      <w:r w:rsidRPr="00C42E76">
        <w:rPr>
          <w:rStyle w:val="HideTWBExt"/>
        </w:rPr>
        <w:t>&lt;/DocRef&gt;</w:t>
      </w:r>
    </w:p>
    <w:p w:rsidR="002574AA" w:rsidRPr="00C42E76" w:rsidP="002574AA" w14:paraId="7906D758" w14:textId="72794E83">
      <w:pPr>
        <w:pStyle w:val="CoverBold"/>
      </w:pPr>
      <w:r w:rsidRPr="00C42E76">
        <w:rPr>
          <w:rStyle w:val="HideTWBExt"/>
          <w:b w:val="0"/>
        </w:rPr>
        <w:t>&lt;RepeatBlock-By&gt;&lt;Depute&gt;</w:t>
      </w:r>
      <w:r w:rsidRPr="00C42E76" w:rsidR="00BB14E5">
        <w:t>Andrey Novakov, Nicolás Pascual de la Parte, Rasa Juknevičienė, Michael Gahler, Sebastião Bugalho, Isabel Wiseler</w:t>
      </w:r>
      <w:r w:rsidRPr="00C42E76" w:rsidR="00BB14E5">
        <w:noBreakHyphen/>
        <w:t>Lima, Andrzej Halicki, David McAllister, Željana Zovko, Niclas Herbst, Mika Aaltola, Sandra Kalniete, Andrey Kovatchev, Radan Kanev, Eva Maydell, Emil Radev, Ilia Lazarov, Daniel Buda, Siegfried Mureşan, Ioan</w:t>
      </w:r>
      <w:r w:rsidRPr="00C42E76" w:rsidR="00BB14E5">
        <w:noBreakHyphen/>
        <w:t>Rareş Bogdan, Gheorghe Falcă, Dan</w:t>
      </w:r>
      <w:r w:rsidRPr="00C42E76" w:rsidR="00BB14E5">
        <w:noBreakHyphen/>
        <w:t>Ştefan Motreanu, Virgil</w:t>
      </w:r>
      <w:r w:rsidRPr="00C42E76" w:rsidR="00BB14E5">
        <w:noBreakHyphen/>
        <w:t>Daniel Popescu, Adina Vălean, Loránt Vincze, Christophe Gomart, Wouter Beke, Michał Szczerba, Alice Teodorescu Måwe, Riho Terras, Pekka Toveri, Matej Tonin, Ingeborg Ter Laak, Jan Farský, Miriam Lexmann, Łukasz Kohut, Inese Vaidere, Reinhold Lopatka, Ana Miguel Pedro, Liudas Mažylis, Ondřej Kolář</w:t>
      </w:r>
      <w:r w:rsidRPr="00C42E76">
        <w:rPr>
          <w:rStyle w:val="HideTWBExt"/>
          <w:b w:val="0"/>
        </w:rPr>
        <w:t>&lt;/Depute&gt;</w:t>
      </w:r>
    </w:p>
    <w:p w:rsidR="002574AA" w:rsidRPr="00C42E76" w:rsidP="002574AA" w14:paraId="168033CC" w14:textId="2DF2A908">
      <w:pPr>
        <w:pStyle w:val="CoverNormal"/>
      </w:pPr>
      <w:r w:rsidRPr="00C42E76">
        <w:rPr>
          <w:rStyle w:val="HideTWBExt"/>
        </w:rPr>
        <w:t>&lt;Commission&gt;</w:t>
      </w:r>
      <w:r w:rsidRPr="00C42E76" w:rsidR="00BB14E5">
        <w:rPr>
          <w:rStyle w:val="HideTWBInt"/>
        </w:rPr>
        <w:t>{PPE}</w:t>
      </w:r>
      <w:r w:rsidRPr="00C42E76" w:rsidR="00BB14E5">
        <w:t>on behalf of the PPE Group</w:t>
      </w:r>
      <w:r w:rsidRPr="00C42E76">
        <w:rPr>
          <w:rStyle w:val="HideTWBExt"/>
        </w:rPr>
        <w:t>&lt;/Commission&gt;</w:t>
      </w:r>
    </w:p>
    <w:p w:rsidR="002574AA" w:rsidRPr="00C42E76" w:rsidP="002574AA" w14:paraId="4F4FD115" w14:textId="72EC8D9B">
      <w:pPr>
        <w:pStyle w:val="CoverNormal"/>
      </w:pPr>
      <w:r w:rsidRPr="00C42E76">
        <w:rPr>
          <w:rStyle w:val="HideTWBExt"/>
        </w:rPr>
        <w:t>&lt;/RepeatBlock-By&gt;</w:t>
      </w:r>
    </w:p>
    <w:p w:rsidR="00814BC6" w:rsidRPr="00C42E76" w14:paraId="4414E068" w14:textId="5F87AC8E">
      <w:pPr>
        <w:pStyle w:val="NormalBold12a"/>
      </w:pPr>
      <w:r w:rsidRPr="00C42E76">
        <w:br w:type="page"/>
      </w:r>
      <w:r w:rsidRPr="00C42E76" w:rsidR="00BB14E5">
        <w:t>B10</w:t>
      </w:r>
      <w:r w:rsidRPr="00C42E76" w:rsidR="00BB14E5">
        <w:noBreakHyphen/>
        <w:t>0478/2026</w:t>
      </w:r>
    </w:p>
    <w:p w:rsidR="00C23264" w:rsidRPr="00C42E76" w:rsidP="00C23264" w14:paraId="6FF1BE16" w14:textId="6661B089">
      <w:pPr>
        <w:pStyle w:val="NormalBold"/>
      </w:pPr>
      <w:r w:rsidRPr="00C42E76">
        <w:t xml:space="preserve">European Parliament resolution on </w:t>
      </w:r>
      <w:r w:rsidRPr="00C42E76" w:rsidR="00BB14E5">
        <w:t>the escalation of Russian strikes in the EU, particularly on Black Sea shipping, threatening human life, regional stability and food security</w:t>
      </w:r>
    </w:p>
    <w:p w:rsidR="00C23264" w:rsidRPr="00C42E76" w:rsidP="00DF7943" w14:paraId="281636B3" w14:textId="4767167C">
      <w:pPr>
        <w:pStyle w:val="NormalBold"/>
      </w:pPr>
      <w:r w:rsidRPr="00C42E76">
        <w:t>(</w:t>
      </w:r>
      <w:r w:rsidRPr="00C42E76" w:rsidR="00BB14E5">
        <w:t>2026/2933</w:t>
      </w:r>
      <w:r w:rsidRPr="00C42E76">
        <w:t>(RSP))</w:t>
      </w:r>
    </w:p>
    <w:p w:rsidR="00814BC6" w:rsidRPr="00C42E76" w14:paraId="773D294C" w14:textId="6BA26A04">
      <w:pPr>
        <w:pStyle w:val="EPComma"/>
      </w:pPr>
      <w:r w:rsidRPr="00C42E76">
        <w:rPr>
          <w:i/>
        </w:rPr>
        <w:t>The European Parliament</w:t>
      </w:r>
      <w:r w:rsidRPr="00C42E76">
        <w:t>,</w:t>
      </w:r>
    </w:p>
    <w:p w:rsidR="006E4FF0" w:rsidRPr="00C42E76" w:rsidP="006E4FF0" w14:paraId="1A9E6AE1" w14:textId="43948EB5">
      <w:pPr>
        <w:pStyle w:val="NormalHanging12a"/>
      </w:pPr>
      <w:r w:rsidRPr="00C42E76">
        <w:t>–</w:t>
      </w:r>
      <w:r w:rsidRPr="00C42E76">
        <w:tab/>
      </w:r>
      <w:r w:rsidRPr="00C42E76" w:rsidR="00BB14E5">
        <w:t>having regard</w:t>
      </w:r>
      <w:r w:rsidRPr="00C42E76" w:rsidR="00BC6462">
        <w:t xml:space="preserve"> to</w:t>
      </w:r>
      <w:r w:rsidRPr="00C42E76" w:rsidR="00BB14E5">
        <w:t xml:space="preserve"> </w:t>
      </w:r>
      <w:r w:rsidRPr="00C42E76">
        <w:t>its previous resolutions on Russia and Ukraine, notably those of 9 October 2025 on a united response to recent Russian violations of the EU Member States</w:t>
      </w:r>
      <w:r w:rsidRPr="00C42E76" w:rsidR="007F34AC">
        <w:t>’</w:t>
      </w:r>
      <w:r w:rsidRPr="00C42E76">
        <w:t xml:space="preserve"> airspace and critical infrastructure</w:t>
      </w:r>
      <w:r>
        <w:rPr>
          <w:rStyle w:val="FootnoteReference"/>
        </w:rPr>
        <w:footnoteReference w:id="2"/>
      </w:r>
      <w:r w:rsidRPr="00C42E76">
        <w:t>, of 18 June 2026 on Russia</w:t>
      </w:r>
      <w:r w:rsidRPr="00C42E76" w:rsidR="007F34AC">
        <w:t>’</w:t>
      </w:r>
      <w:r w:rsidRPr="00C42E76">
        <w:t>s unacceptable provocative actions and drone incursions into Romania, the Baltic states and Finland</w:t>
      </w:r>
      <w:r>
        <w:rPr>
          <w:rStyle w:val="FootnoteReference"/>
        </w:rPr>
        <w:footnoteReference w:id="3"/>
      </w:r>
      <w:r w:rsidRPr="00C42E76">
        <w:t>, and of 16 September 2026 on hybrid warfare and the protection of the EU</w:t>
      </w:r>
      <w:r w:rsidRPr="00C42E76" w:rsidR="007F34AC">
        <w:t>’</w:t>
      </w:r>
      <w:r w:rsidRPr="00C42E76">
        <w:t>s territorial integrity and critical security and defence infrastructure</w:t>
      </w:r>
      <w:r>
        <w:rPr>
          <w:rStyle w:val="FootnoteReference"/>
        </w:rPr>
        <w:footnoteReference w:id="4"/>
      </w:r>
      <w:r w:rsidRPr="00C42E76">
        <w:t>,</w:t>
      </w:r>
    </w:p>
    <w:p w:rsidR="006E4FF0" w:rsidRPr="00C42E76" w:rsidP="006E4FF0" w14:paraId="4A76EC3D" w14:textId="689621C9">
      <w:pPr>
        <w:pStyle w:val="NormalHanging12a"/>
      </w:pPr>
      <w:r w:rsidRPr="00C42E76">
        <w:t>–</w:t>
      </w:r>
      <w:r w:rsidRPr="00C42E76">
        <w:tab/>
        <w:t>having regard to the UN Charter and the fundamental principles of international law,</w:t>
      </w:r>
    </w:p>
    <w:p w:rsidR="006E4FF0" w:rsidRPr="00C42E76" w:rsidP="006E4FF0" w14:paraId="4F51CA55" w14:textId="73B906D3">
      <w:pPr>
        <w:pStyle w:val="NormalHanging12a"/>
      </w:pPr>
      <w:r w:rsidRPr="00C42E76">
        <w:t>–</w:t>
      </w:r>
      <w:r w:rsidRPr="00C42E76">
        <w:tab/>
        <w:t>having regard to the UN Convention on the Law of the Sea of 10 December 1982 (UNCLOS),</w:t>
      </w:r>
    </w:p>
    <w:p w:rsidR="006E4FF0" w:rsidRPr="00C42E76" w:rsidP="006E4FF0" w14:paraId="0FCC077B" w14:textId="07D0133A">
      <w:pPr>
        <w:pStyle w:val="NormalHanging12a"/>
      </w:pPr>
      <w:r w:rsidRPr="00C42E76">
        <w:t>–</w:t>
      </w:r>
      <w:r w:rsidRPr="00C42E76">
        <w:tab/>
        <w:t>having regard to the Treaty on European Union, in particular Articles 24(3) and 42(7) thereof, and to the Treaty on the Functioning of the European Union, in particular Article 222 thereof,</w:t>
      </w:r>
    </w:p>
    <w:p w:rsidR="006E4FF0" w:rsidRPr="00C42E76" w:rsidP="006E4FF0" w14:paraId="2147C30A" w14:textId="547E4088">
      <w:pPr>
        <w:pStyle w:val="NormalHanging12a"/>
      </w:pPr>
      <w:r w:rsidRPr="00C42E76">
        <w:t>–</w:t>
      </w:r>
      <w:r w:rsidRPr="00C42E76">
        <w:tab/>
        <w:t>having regard to the North Atlantic Treaty of 4 April 1949, in particular Articles 4 and 5 thereof,</w:t>
      </w:r>
    </w:p>
    <w:p w:rsidR="006E4FF0" w:rsidRPr="00C42E76" w:rsidP="006E4FF0" w14:paraId="591229CD" w14:textId="0A7E7E8C">
      <w:pPr>
        <w:pStyle w:val="NormalHanging12a"/>
      </w:pPr>
      <w:r w:rsidRPr="00C42E76">
        <w:t>–</w:t>
      </w:r>
      <w:r w:rsidRPr="00C42E76">
        <w:tab/>
        <w:t>having regard to the statement by Commission President Ursula von der Leyen of 13 October 2026 on the attacks against merchant vessels in the Black Sea,</w:t>
      </w:r>
    </w:p>
    <w:p w:rsidR="006E4FF0" w:rsidRPr="00C42E76" w:rsidP="006E4FF0" w14:paraId="28DA8F24" w14:textId="59463E42">
      <w:pPr>
        <w:pStyle w:val="NormalHanging12a"/>
      </w:pPr>
      <w:r w:rsidRPr="00C42E76">
        <w:rPr>
          <w:snapToGrid w:val="0"/>
        </w:rPr>
        <w:t>–</w:t>
      </w:r>
      <w:r w:rsidRPr="00C42E76">
        <w:rPr>
          <w:snapToGrid w:val="0"/>
        </w:rPr>
        <w:tab/>
      </w:r>
      <w:r w:rsidRPr="00C42E76">
        <w:t>having regard to the statement of Council President António Costa that the European Council was to discuss the intensification of Russia</w:t>
      </w:r>
      <w:r w:rsidRPr="00C42E76" w:rsidR="007F34AC">
        <w:t>’</w:t>
      </w:r>
      <w:r w:rsidRPr="00C42E76">
        <w:t>s hybrid campaigns at its summit on 15 and 16 October,</w:t>
      </w:r>
    </w:p>
    <w:p w:rsidR="006E4FF0" w:rsidRPr="00C42E76" w:rsidP="006E4FF0" w14:paraId="63B2209B" w14:textId="28324A5E">
      <w:pPr>
        <w:pStyle w:val="NormalHanging12a"/>
      </w:pPr>
      <w:r w:rsidRPr="00C42E76">
        <w:t>–</w:t>
      </w:r>
      <w:r w:rsidRPr="00C42E76">
        <w:tab/>
        <w:t>having regard to the statement by NATO Secretary General Mark Rutte of 13 October 2026 on the attacks against commercial shipping in the Black Sea,</w:t>
      </w:r>
    </w:p>
    <w:p w:rsidR="006E4FF0" w:rsidRPr="00C42E76" w:rsidP="006E4FF0" w14:paraId="4399D3EB" w14:textId="5609F933">
      <w:pPr>
        <w:pStyle w:val="NormalHanging12a"/>
      </w:pPr>
      <w:r w:rsidRPr="00C42E76">
        <w:t>–</w:t>
      </w:r>
      <w:r w:rsidRPr="00C42E76">
        <w:tab/>
        <w:t xml:space="preserve">having regard to the joint communication of the Commission and the High Representative of the Union for Foreign Affairs and Security Policy of 28 May 2025 entitled </w:t>
      </w:r>
      <w:r w:rsidRPr="00C42E76" w:rsidR="007F34AC">
        <w:t>‘</w:t>
      </w:r>
      <w:r w:rsidRPr="00C42E76">
        <w:t>The European Union</w:t>
      </w:r>
      <w:r w:rsidRPr="00C42E76" w:rsidR="007F34AC">
        <w:t>’</w:t>
      </w:r>
      <w:r w:rsidRPr="00C42E76">
        <w:t>s strategic approach to the Black Sea region</w:t>
      </w:r>
      <w:r w:rsidRPr="00C42E76" w:rsidR="007F34AC">
        <w:t>’</w:t>
      </w:r>
      <w:r w:rsidRPr="00C42E76">
        <w:t xml:space="preserve"> and to the first joint implementation report thereon of July 2026,</w:t>
      </w:r>
    </w:p>
    <w:p w:rsidR="006E4FF0" w:rsidRPr="00C42E76" w:rsidP="006E4FF0" w14:paraId="7F63B0A4" w14:textId="49D0DD15">
      <w:pPr>
        <w:pStyle w:val="NormalHanging12a"/>
      </w:pPr>
      <w:r w:rsidRPr="00C42E76">
        <w:t>–</w:t>
      </w:r>
      <w:r w:rsidRPr="00C42E76">
        <w:tab/>
        <w:t>having regard to the European Council conclusions of 19 June 2026 and of 15 to 16 October 2026,</w:t>
      </w:r>
    </w:p>
    <w:p w:rsidR="00ED22B8" w:rsidRPr="00C42E76" w:rsidP="006E4FF0" w14:paraId="645086D6" w14:textId="2E7C6E5A">
      <w:pPr>
        <w:pStyle w:val="NormalHanging12a"/>
      </w:pPr>
      <w:r w:rsidRPr="00C42E76">
        <w:t>–</w:t>
      </w:r>
      <w:r w:rsidRPr="00C42E76">
        <w:tab/>
        <w:t>having regard to Rule 136(2) of its Rules of Procedure</w:t>
      </w:r>
      <w:r w:rsidRPr="00C42E76" w:rsidR="001B4E56">
        <w:t>,</w:t>
      </w:r>
    </w:p>
    <w:p w:rsidR="006E4FF0" w:rsidRPr="00C42E76" w:rsidP="006E4FF0" w14:paraId="643847BC" w14:textId="77777777">
      <w:pPr>
        <w:pStyle w:val="NormalHanging12a"/>
      </w:pPr>
      <w:r w:rsidRPr="00C42E76">
        <w:t>1.</w:t>
      </w:r>
      <w:r w:rsidRPr="00C42E76">
        <w:tab/>
      </w:r>
      <w:r w:rsidRPr="00C42E76">
        <w:t>Strongly condemns the deadly attacks against civilian merchant vessels in the Black Sea off the coast of Bulgaria and Romania;</w:t>
      </w:r>
    </w:p>
    <w:p w:rsidR="006E4FF0" w:rsidRPr="00C42E76" w:rsidP="006E4FF0" w14:paraId="5E24F2DA" w14:textId="6CBE3E5A">
      <w:pPr>
        <w:pStyle w:val="NormalHanging12a"/>
      </w:pPr>
      <w:r w:rsidRPr="00C42E76">
        <w:rPr>
          <w:snapToGrid w:val="0"/>
        </w:rPr>
        <w:t>2.</w:t>
      </w:r>
      <w:r w:rsidRPr="00C42E76">
        <w:rPr>
          <w:snapToGrid w:val="0"/>
        </w:rPr>
        <w:tab/>
      </w:r>
      <w:r w:rsidRPr="00C42E76">
        <w:t>Declares that Russia bears full responsibility for destabilising trade, the economy and tourism in the Black Sea region due to its war of aggression against Ukraine, and holds Russia responsible for attacking civilian vessels;</w:t>
      </w:r>
    </w:p>
    <w:p w:rsidR="006E4FF0" w:rsidRPr="00C42E76" w:rsidP="006E4FF0" w14:paraId="4A858331" w14:textId="752233ED">
      <w:pPr>
        <w:pStyle w:val="NormalHanging12a"/>
      </w:pPr>
      <w:r w:rsidRPr="00C42E76">
        <w:rPr>
          <w:snapToGrid w:val="0"/>
        </w:rPr>
        <w:t>3.</w:t>
      </w:r>
      <w:r w:rsidRPr="00C42E76">
        <w:rPr>
          <w:snapToGrid w:val="0"/>
        </w:rPr>
        <w:tab/>
      </w:r>
      <w:r w:rsidRPr="00C42E76">
        <w:t>Highlights that the security of the Black Sea is an integral part of EU security and requires a coordinated EU response, in close cooperation with NATO; stresses the need for a strengthened eastern flank, from the Arctic to the Black Sea;</w:t>
      </w:r>
    </w:p>
    <w:p w:rsidR="006E4FF0" w:rsidRPr="00C42E76" w:rsidP="006E4FF0" w14:paraId="7F06BB26" w14:textId="311A8A18">
      <w:pPr>
        <w:pStyle w:val="NormalHanging12a"/>
      </w:pPr>
      <w:r w:rsidRPr="00C42E76">
        <w:rPr>
          <w:snapToGrid w:val="0"/>
        </w:rPr>
        <w:t>4.</w:t>
      </w:r>
      <w:r w:rsidRPr="00C42E76">
        <w:rPr>
          <w:snapToGrid w:val="0"/>
        </w:rPr>
        <w:tab/>
      </w:r>
      <w:r w:rsidRPr="00C42E76">
        <w:t>Calls for the EU and the Member States to consider deploying an EU naval operation in the Black Sea; stresses that freedom of navigation and maritime security are part of securing NATO</w:t>
      </w:r>
      <w:r w:rsidRPr="00C42E76" w:rsidR="007F34AC">
        <w:t>’</w:t>
      </w:r>
      <w:r w:rsidRPr="00C42E76">
        <w:t>s eastern flank, the Black Sea region and the Danube delta;</w:t>
      </w:r>
    </w:p>
    <w:p w:rsidR="006E4FF0" w:rsidRPr="00C42E76" w:rsidP="006E4FF0" w14:paraId="4046A487" w14:textId="2479ABDD">
      <w:pPr>
        <w:pStyle w:val="NormalHanging12a"/>
      </w:pPr>
      <w:r w:rsidRPr="00C42E76">
        <w:rPr>
          <w:snapToGrid w:val="0"/>
        </w:rPr>
        <w:t>5.</w:t>
      </w:r>
      <w:r w:rsidRPr="00C42E76">
        <w:rPr>
          <w:snapToGrid w:val="0"/>
        </w:rPr>
        <w:tab/>
      </w:r>
      <w:r w:rsidRPr="00C42E76">
        <w:t>Calls on the Member States, in cooperation with NATO, to conceptualise and deploy an Anti-Access/Area Denial (A2/AD) capability for the Black Sea region and the Danube delta;</w:t>
      </w:r>
    </w:p>
    <w:p w:rsidR="006E4FF0" w:rsidRPr="00C42E76" w:rsidP="006E4FF0" w14:paraId="7122B578" w14:textId="7734BEFF">
      <w:pPr>
        <w:pStyle w:val="NormalHanging12a"/>
      </w:pPr>
      <w:r w:rsidRPr="00C42E76">
        <w:rPr>
          <w:snapToGrid w:val="0"/>
        </w:rPr>
        <w:t>6.</w:t>
      </w:r>
      <w:r w:rsidRPr="00C42E76">
        <w:rPr>
          <w:snapToGrid w:val="0"/>
        </w:rPr>
        <w:tab/>
      </w:r>
      <w:r w:rsidRPr="00C42E76">
        <w:t>Notes that defence production capacities across some parts of the EU are under immense strain to deliver; calls on the Commission and the Member States to balance the load and fully use the</w:t>
      </w:r>
      <w:r w:rsidRPr="00C42E76" w:rsidR="00FF7016">
        <w:t xml:space="preserve"> available defence industry</w:t>
      </w:r>
      <w:r w:rsidRPr="00C42E76">
        <w:t xml:space="preserve"> capacities, especially in eastern Europe;</w:t>
      </w:r>
    </w:p>
    <w:p w:rsidR="006E4FF0" w:rsidRPr="00C42E76" w:rsidP="006E4FF0" w14:paraId="5B98A20C" w14:textId="5E16BCE8">
      <w:pPr>
        <w:pStyle w:val="NormalHanging12a"/>
      </w:pPr>
      <w:r w:rsidRPr="00C42E76">
        <w:rPr>
          <w:snapToGrid w:val="0"/>
        </w:rPr>
        <w:t>7.</w:t>
      </w:r>
      <w:r w:rsidRPr="00C42E76">
        <w:rPr>
          <w:snapToGrid w:val="0"/>
        </w:rPr>
        <w:tab/>
      </w:r>
      <w:r w:rsidRPr="00C42E76">
        <w:t>Recommends that Bulgaria and Romania engage with their defence technological and industrial base to develop and procure interception capabilities with a view to eliminating airborne threats;</w:t>
      </w:r>
    </w:p>
    <w:p w:rsidR="006E4FF0" w:rsidRPr="00C42E76" w:rsidP="006E4FF0" w14:paraId="098D7E1B" w14:textId="57B215D2">
      <w:pPr>
        <w:pStyle w:val="NormalHanging12a"/>
      </w:pPr>
      <w:r w:rsidRPr="00C42E76">
        <w:rPr>
          <w:snapToGrid w:val="0"/>
        </w:rPr>
        <w:t>8.</w:t>
      </w:r>
      <w:r w:rsidRPr="00C42E76">
        <w:rPr>
          <w:snapToGrid w:val="0"/>
        </w:rPr>
        <w:tab/>
      </w:r>
      <w:r w:rsidRPr="00C42E76">
        <w:t>Considers that the unused amounts under the Security Action for Europe (SAFE) financial instrument are a window of opportunity for Romania and Bulgaria to tackle the newly arising challenge;</w:t>
      </w:r>
    </w:p>
    <w:p w:rsidR="006E4FF0" w:rsidRPr="00C42E76" w:rsidP="006E4FF0" w14:paraId="142B79D3" w14:textId="6DC18488">
      <w:pPr>
        <w:pStyle w:val="NormalHanging12a"/>
        <w:rPr>
          <w:bCs/>
          <w:i/>
          <w:iCs/>
        </w:rPr>
      </w:pPr>
      <w:r w:rsidRPr="00C42E76">
        <w:rPr>
          <w:iCs/>
          <w:snapToGrid w:val="0"/>
        </w:rPr>
        <w:t>9.</w:t>
      </w:r>
      <w:r w:rsidRPr="00C42E76">
        <w:rPr>
          <w:i/>
          <w:snapToGrid w:val="0"/>
        </w:rPr>
        <w:tab/>
      </w:r>
      <w:r w:rsidRPr="00C42E76">
        <w:t>Stresses that the future multiannual financial framework must cater for a wide range of security and defence needs, including in the Black Sea region; recognises Romania and Bulgaria as the guardians of the EU</w:t>
      </w:r>
      <w:r w:rsidRPr="00C42E76" w:rsidR="007F34AC">
        <w:t>’</w:t>
      </w:r>
      <w:r w:rsidRPr="00C42E76">
        <w:t>s and NATO</w:t>
      </w:r>
      <w:r w:rsidRPr="00C42E76" w:rsidR="007F34AC">
        <w:t>’</w:t>
      </w:r>
      <w:r w:rsidRPr="00C42E76">
        <w:t>s south-eastern flank and the frontline of European security in the Black Sea; calls for this role to be reflected in EU funding, defence planning and the allocation of capabilities;</w:t>
      </w:r>
    </w:p>
    <w:p w:rsidR="006E4FF0" w:rsidRPr="00C42E76" w:rsidP="006E4FF0" w14:paraId="62ED46FA" w14:textId="6DA56651">
      <w:pPr>
        <w:pStyle w:val="NormalHanging12a"/>
      </w:pPr>
      <w:r w:rsidRPr="00C42E76">
        <w:rPr>
          <w:snapToGrid w:val="0"/>
        </w:rPr>
        <w:t>10.</w:t>
      </w:r>
      <w:r w:rsidRPr="00C42E76">
        <w:rPr>
          <w:snapToGrid w:val="0"/>
        </w:rPr>
        <w:tab/>
      </w:r>
      <w:r w:rsidRPr="00C42E76">
        <w:t>Further underlines that EU efforts should include enhanced maritime and air surveillance, intelligence sharing, protection of the EU</w:t>
      </w:r>
      <w:r w:rsidRPr="00C42E76" w:rsidR="007F34AC">
        <w:t>’</w:t>
      </w:r>
      <w:r w:rsidRPr="00C42E76">
        <w:t>s Black Sea ports, critical on- and off-shore transport, and energy and digital infrastructure;</w:t>
      </w:r>
    </w:p>
    <w:p w:rsidR="006E4FF0" w:rsidRPr="00C42E76" w:rsidP="006E4FF0" w14:paraId="43C8CEEB" w14:textId="79287BE3">
      <w:pPr>
        <w:pStyle w:val="NormalHanging12a"/>
      </w:pPr>
      <w:r w:rsidRPr="00C42E76">
        <w:rPr>
          <w:snapToGrid w:val="0"/>
        </w:rPr>
        <w:t>11.</w:t>
      </w:r>
      <w:r w:rsidRPr="00C42E76">
        <w:rPr>
          <w:snapToGrid w:val="0"/>
        </w:rPr>
        <w:tab/>
      </w:r>
      <w:r w:rsidRPr="00C42E76">
        <w:t>Calls for the EU</w:t>
      </w:r>
      <w:r w:rsidRPr="00C42E76" w:rsidR="007F34AC">
        <w:t>’</w:t>
      </w:r>
      <w:r w:rsidRPr="00C42E76">
        <w:t>s strategic approach to the Black Sea region to be implemented and the creation of the Black Sea Maritime Security Hub to be accelerated;</w:t>
      </w:r>
    </w:p>
    <w:p w:rsidR="00814BC6" w:rsidRPr="00C42E76" w:rsidP="006E4FF0" w14:paraId="48BA8C7A" w14:textId="16CDC991">
      <w:pPr>
        <w:pStyle w:val="NormalHanging12a"/>
      </w:pPr>
      <w:r w:rsidRPr="00C42E76">
        <w:rPr>
          <w:snapToGrid w:val="0"/>
        </w:rPr>
        <w:t>12.</w:t>
      </w:r>
      <w:r w:rsidRPr="00C42E76">
        <w:rPr>
          <w:snapToGrid w:val="0"/>
        </w:rPr>
        <w:tab/>
      </w:r>
      <w:r w:rsidRPr="00C42E76">
        <w:t>Recalls the repeated incursions of Russian drones into the EU</w:t>
      </w:r>
      <w:r w:rsidRPr="00C42E76" w:rsidR="007F34AC">
        <w:t>’</w:t>
      </w:r>
      <w:r w:rsidRPr="00C42E76">
        <w:t>s and Moldova</w:t>
      </w:r>
      <w:r w:rsidRPr="00C42E76" w:rsidR="007F34AC">
        <w:t>’</w:t>
      </w:r>
      <w:r w:rsidRPr="00C42E76">
        <w:t>s airspace, as well as cyberattacks, disinformation campaigns and acts of sabotage</w:t>
      </w:r>
      <w:r w:rsidRPr="00C42E76" w:rsidR="001B4E56">
        <w:t>;</w:t>
      </w:r>
    </w:p>
    <w:p w:rsidR="00814BC6" w:rsidRPr="00C42E76" w14:paraId="37ABF133" w14:textId="1F9377F9">
      <w:pPr>
        <w:pStyle w:val="NormalHanging12a"/>
      </w:pPr>
      <w:r w:rsidRPr="00C42E76">
        <w:t xml:space="preserve"> </w:t>
      </w:r>
      <w:r w:rsidRPr="00C42E76" w:rsidR="006E4FF0">
        <w:t>13</w:t>
      </w:r>
      <w:r w:rsidRPr="00C42E76" w:rsidR="001B4E56">
        <w:t>.</w:t>
      </w:r>
      <w:r w:rsidRPr="00C42E76" w:rsidR="001B4E56">
        <w:tab/>
        <w:t xml:space="preserve">Instructs its President to forward this resolution to </w:t>
      </w:r>
      <w:r w:rsidRPr="00C42E76" w:rsidR="006E4FF0">
        <w:t>the Vice-President of the Commission / High Representative of the Union for Foreign Affairs and Security Policy, the Council, the Commission, the governments and parliaments of the Member States, the Secretary General of NATO, the International Maritime Organization, the President of Ukraine, and the Russian authorities</w:t>
      </w:r>
      <w:r w:rsidRPr="00C42E76" w:rsidR="001B4E56">
        <w:t>.</w:t>
      </w:r>
    </w:p>
    <w:p w:rsidR="00866D70" w:rsidRPr="00C42E76" w:rsidP="00866D70" w14:paraId="5A50F2F0" w14:textId="77777777"/>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4E5" w:rsidRPr="00C42E76" w:rsidP="00BB14E5" w14:paraId="0C4C5F9F" w14:textId="77777777">
    <w:pPr>
      <w:pStyle w:val="EPFooter"/>
      <w:rPr>
        <w:lang w:val="fr-BE"/>
      </w:rPr>
    </w:pPr>
    <w:r w:rsidRPr="00C42E76">
      <w:rPr>
        <w:lang w:val="fr-BE"/>
      </w:rPr>
      <w:t>PE</w:t>
    </w:r>
    <w:r w:rsidRPr="00C42E76">
      <w:rPr>
        <w:rStyle w:val="HideTWBExt"/>
        <w:lang w:val="fr-BE"/>
      </w:rPr>
      <w:t>&lt;NoPE&gt;</w:t>
    </w:r>
    <w:r w:rsidRPr="00C42E76">
      <w:rPr>
        <w:lang w:val="fr-BE"/>
      </w:rPr>
      <w:t>788.362</w:t>
    </w:r>
    <w:r w:rsidRPr="00C42E76">
      <w:rPr>
        <w:rStyle w:val="HideTWBExt"/>
        <w:lang w:val="fr-BE"/>
      </w:rPr>
      <w:t>&lt;/NoPE&gt;&lt;Version&gt;</w:t>
    </w:r>
    <w:r w:rsidRPr="00C42E76">
      <w:rPr>
        <w:lang w:val="fr-BE"/>
      </w:rPr>
      <w:t>v01-00</w:t>
    </w:r>
    <w:r w:rsidRPr="00C42E76">
      <w:rPr>
        <w:rStyle w:val="HideTWBExt"/>
        <w:lang w:val="fr-BE"/>
      </w:rPr>
      <w:t>&lt;/Version&gt;</w:t>
    </w:r>
    <w:r w:rsidRPr="00C42E76">
      <w:rPr>
        <w:lang w:val="fr-BE"/>
      </w:rPr>
      <w:tab/>
    </w:r>
    <w:r w:rsidRPr="00C42E76">
      <w:fldChar w:fldCharType="begin"/>
    </w:r>
    <w:r w:rsidRPr="00C42E76">
      <w:rPr>
        <w:lang w:val="fr-BE"/>
      </w:rPr>
      <w:instrText xml:space="preserve"> PAGE  \* MERGEFORMAT </w:instrText>
    </w:r>
    <w:r w:rsidRPr="00C42E76">
      <w:fldChar w:fldCharType="separate"/>
    </w:r>
    <w:r w:rsidRPr="00C42E76">
      <w:rPr>
        <w:noProof/>
        <w:lang w:val="fr-BE"/>
      </w:rPr>
      <w:t>2</w:t>
    </w:r>
    <w:r w:rsidRPr="00C42E76">
      <w:fldChar w:fldCharType="end"/>
    </w:r>
    <w:r w:rsidRPr="00C42E76">
      <w:rPr>
        <w:lang w:val="fr-BE"/>
      </w:rPr>
      <w:t>/</w:t>
    </w:r>
    <w:r w:rsidRPr="00C42E76">
      <w:fldChar w:fldCharType="begin"/>
    </w:r>
    <w:r w:rsidRPr="00C42E76">
      <w:rPr>
        <w:lang w:val="fr-BE"/>
      </w:rPr>
      <w:instrText xml:space="preserve"> NUMPAGES  \* MERGEFORMAT </w:instrText>
    </w:r>
    <w:r w:rsidRPr="00C42E76">
      <w:fldChar w:fldCharType="separate"/>
    </w:r>
    <w:r w:rsidRPr="00C42E76">
      <w:rPr>
        <w:noProof/>
        <w:lang w:val="fr-BE"/>
      </w:rPr>
      <w:t>2</w:t>
    </w:r>
    <w:r w:rsidRPr="00C42E76">
      <w:rPr>
        <w:noProof/>
      </w:rPr>
      <w:fldChar w:fldCharType="end"/>
    </w:r>
    <w:r w:rsidRPr="00C42E76">
      <w:rPr>
        <w:lang w:val="fr-BE"/>
      </w:rPr>
      <w:tab/>
    </w:r>
    <w:r w:rsidRPr="00C42E76">
      <w:rPr>
        <w:rStyle w:val="HideTWBExt"/>
        <w:lang w:val="fr-BE"/>
      </w:rPr>
      <w:t>&lt;PathFdR&gt;</w:t>
    </w:r>
    <w:r w:rsidRPr="00C42E76">
      <w:rPr>
        <w:lang w:val="fr-BE"/>
      </w:rPr>
      <w:t>RE\1353130EN.docx</w:t>
    </w:r>
    <w:r w:rsidRPr="00C42E76">
      <w:rPr>
        <w:rStyle w:val="HideTWBExt"/>
        <w:lang w:val="fr-BE"/>
      </w:rPr>
      <w:t>&lt;/PathFdR&gt;</w:t>
    </w:r>
  </w:p>
  <w:p w:rsidR="00A90219" w:rsidRPr="00C42E76" w:rsidP="00BB14E5" w14:paraId="27B0419F" w14:textId="1A71C769">
    <w:pPr>
      <w:pStyle w:val="EPFooter2"/>
    </w:pPr>
    <w:r w:rsidRPr="00C42E7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4E5" w:rsidRPr="00C42E76" w:rsidP="00BB14E5" w14:paraId="302356A3" w14:textId="77777777">
    <w:pPr>
      <w:pStyle w:val="EPFooter"/>
      <w:rPr>
        <w:lang w:val="fr-BE"/>
      </w:rPr>
    </w:pPr>
    <w:r w:rsidRPr="00C42E76">
      <w:rPr>
        <w:rStyle w:val="HideTWBExt"/>
        <w:lang w:val="fr-BE"/>
      </w:rPr>
      <w:t>&lt;PathFdR&gt;</w:t>
    </w:r>
    <w:r w:rsidRPr="00C42E76">
      <w:rPr>
        <w:lang w:val="fr-BE"/>
      </w:rPr>
      <w:t>RE\1353130EN.docx</w:t>
    </w:r>
    <w:r w:rsidRPr="00C42E76">
      <w:rPr>
        <w:rStyle w:val="HideTWBExt"/>
        <w:lang w:val="fr-BE"/>
      </w:rPr>
      <w:t>&lt;/PathFdR&gt;</w:t>
    </w:r>
    <w:r w:rsidRPr="00C42E76">
      <w:rPr>
        <w:lang w:val="fr-BE"/>
      </w:rPr>
      <w:tab/>
    </w:r>
    <w:r w:rsidRPr="00C42E76">
      <w:fldChar w:fldCharType="begin"/>
    </w:r>
    <w:r w:rsidRPr="00C42E76">
      <w:rPr>
        <w:lang w:val="fr-BE"/>
      </w:rPr>
      <w:instrText xml:space="preserve"> PAGE  \* MERGEFORMAT </w:instrText>
    </w:r>
    <w:r w:rsidRPr="00C42E76">
      <w:fldChar w:fldCharType="separate"/>
    </w:r>
    <w:r w:rsidRPr="00C42E76">
      <w:rPr>
        <w:noProof/>
        <w:lang w:val="fr-BE"/>
      </w:rPr>
      <w:t>2</w:t>
    </w:r>
    <w:r w:rsidRPr="00C42E76">
      <w:fldChar w:fldCharType="end"/>
    </w:r>
    <w:r w:rsidRPr="00C42E76">
      <w:rPr>
        <w:lang w:val="fr-BE"/>
      </w:rPr>
      <w:t>/</w:t>
    </w:r>
    <w:r w:rsidRPr="00C42E76">
      <w:fldChar w:fldCharType="begin"/>
    </w:r>
    <w:r w:rsidRPr="00C42E76">
      <w:rPr>
        <w:lang w:val="fr-BE"/>
      </w:rPr>
      <w:instrText xml:space="preserve"> NUMPAGES  \* MERGEFORMAT </w:instrText>
    </w:r>
    <w:r w:rsidRPr="00C42E76">
      <w:fldChar w:fldCharType="separate"/>
    </w:r>
    <w:r w:rsidRPr="00C42E76">
      <w:rPr>
        <w:noProof/>
        <w:lang w:val="fr-BE"/>
      </w:rPr>
      <w:t>2</w:t>
    </w:r>
    <w:r w:rsidRPr="00C42E76">
      <w:rPr>
        <w:noProof/>
      </w:rPr>
      <w:fldChar w:fldCharType="end"/>
    </w:r>
    <w:r w:rsidRPr="00C42E76">
      <w:rPr>
        <w:lang w:val="fr-BE"/>
      </w:rPr>
      <w:tab/>
      <w:t>PE</w:t>
    </w:r>
    <w:r w:rsidRPr="00C42E76">
      <w:rPr>
        <w:rStyle w:val="HideTWBExt"/>
        <w:lang w:val="fr-BE"/>
      </w:rPr>
      <w:t>&lt;NoPE&gt;</w:t>
    </w:r>
    <w:r w:rsidRPr="00C42E76">
      <w:rPr>
        <w:lang w:val="fr-BE"/>
      </w:rPr>
      <w:t>788.362</w:t>
    </w:r>
    <w:r w:rsidRPr="00C42E76">
      <w:rPr>
        <w:rStyle w:val="HideTWBExt"/>
        <w:lang w:val="fr-BE"/>
      </w:rPr>
      <w:t>&lt;/NoPE&gt;&lt;Version&gt;</w:t>
    </w:r>
    <w:r w:rsidRPr="00C42E76">
      <w:rPr>
        <w:lang w:val="fr-BE"/>
      </w:rPr>
      <w:t>v01-00</w:t>
    </w:r>
    <w:r w:rsidRPr="00C42E76">
      <w:rPr>
        <w:rStyle w:val="HideTWBExt"/>
        <w:lang w:val="fr-BE"/>
      </w:rPr>
      <w:t>&lt;/Version&gt;</w:t>
    </w:r>
  </w:p>
  <w:p w:rsidR="00A90219" w:rsidRPr="00C42E76" w:rsidP="00BB14E5" w14:paraId="77EC75F2" w14:textId="5B26AD81">
    <w:pPr>
      <w:pStyle w:val="EPFooter2"/>
    </w:pPr>
    <w:r w:rsidRPr="00C42E76">
      <w:rPr>
        <w:lang w:val="fr-BE"/>
      </w:rPr>
      <w:tab/>
    </w:r>
    <w:r w:rsidRPr="00C42E76">
      <w:rPr>
        <w:lang w:val="fr-BE"/>
      </w:rPr>
      <w:tab/>
    </w:r>
    <w:r w:rsidRPr="00C42E76">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4E5" w:rsidRPr="00C42E76" w:rsidP="00BB14E5" w14:paraId="59ECA5AB" w14:textId="77777777">
    <w:pPr>
      <w:pStyle w:val="EPFooter"/>
      <w:rPr>
        <w:lang w:val="fr-BE"/>
      </w:rPr>
    </w:pPr>
    <w:r w:rsidRPr="00C42E76">
      <w:rPr>
        <w:rStyle w:val="HideTWBExt"/>
        <w:lang w:val="fr-BE"/>
      </w:rPr>
      <w:t>&lt;PathFdR&gt;</w:t>
    </w:r>
    <w:r w:rsidRPr="00C42E76">
      <w:rPr>
        <w:lang w:val="fr-BE"/>
      </w:rPr>
      <w:t>RE\1353130EN.docx</w:t>
    </w:r>
    <w:r w:rsidRPr="00C42E76">
      <w:rPr>
        <w:rStyle w:val="HideTWBExt"/>
        <w:lang w:val="fr-BE"/>
      </w:rPr>
      <w:t>&lt;/PathFdR&gt;</w:t>
    </w:r>
    <w:r w:rsidRPr="00C42E76">
      <w:rPr>
        <w:lang w:val="fr-BE"/>
      </w:rPr>
      <w:tab/>
    </w:r>
    <w:r w:rsidRPr="00C42E76">
      <w:rPr>
        <w:lang w:val="fr-BE"/>
      </w:rPr>
      <w:tab/>
      <w:t>PE</w:t>
    </w:r>
    <w:r w:rsidRPr="00C42E76">
      <w:rPr>
        <w:rStyle w:val="HideTWBExt"/>
        <w:lang w:val="fr-BE"/>
      </w:rPr>
      <w:t>&lt;NoPE&gt;</w:t>
    </w:r>
    <w:r w:rsidRPr="00C42E76">
      <w:rPr>
        <w:lang w:val="fr-BE"/>
      </w:rPr>
      <w:t>788.362</w:t>
    </w:r>
    <w:r w:rsidRPr="00C42E76">
      <w:rPr>
        <w:rStyle w:val="HideTWBExt"/>
        <w:lang w:val="fr-BE"/>
      </w:rPr>
      <w:t>&lt;/NoPE&gt;&lt;Version&gt;</w:t>
    </w:r>
    <w:r w:rsidRPr="00C42E76">
      <w:rPr>
        <w:lang w:val="fr-BE"/>
      </w:rPr>
      <w:t>v01-00</w:t>
    </w:r>
    <w:r w:rsidRPr="00C42E76">
      <w:rPr>
        <w:rStyle w:val="HideTWBExt"/>
        <w:lang w:val="fr-BE"/>
      </w:rPr>
      <w:t>&lt;/Version&gt;</w:t>
    </w:r>
  </w:p>
  <w:p w:rsidR="00A90219" w:rsidRPr="00C42E76" w:rsidP="00BB14E5" w14:paraId="2D19C719" w14:textId="1C34C434">
    <w:pPr>
      <w:pStyle w:val="EPFooter2"/>
    </w:pPr>
    <w:r w:rsidRPr="00C42E76">
      <w:t>EN</w:t>
    </w:r>
    <w:r w:rsidRPr="00C42E76">
      <w:tab/>
    </w:r>
    <w:r w:rsidRPr="00C42E76">
      <w:rPr>
        <w:b w:val="0"/>
        <w:i/>
        <w:color w:val="C0C0C0"/>
        <w:sz w:val="22"/>
      </w:rPr>
      <w:t>United in diversity</w:t>
    </w:r>
    <w:r w:rsidRPr="00C42E7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4EA0" w:rsidRPr="00C42E76" w14:paraId="0BB20037" w14:textId="77777777">
      <w:r w:rsidRPr="00C42E76">
        <w:separator/>
      </w:r>
    </w:p>
  </w:footnote>
  <w:footnote w:type="continuationSeparator" w:id="1">
    <w:p w:rsidR="00B94EA0" w:rsidRPr="00C42E76" w14:paraId="2689C3F2" w14:textId="77777777">
      <w:r w:rsidRPr="00C42E76">
        <w:continuationSeparator/>
      </w:r>
    </w:p>
  </w:footnote>
  <w:footnote w:id="2">
    <w:p w:rsidR="006E4FF0" w:rsidRPr="00C42E76" w:rsidP="006E4FF0" w14:paraId="426CDE68" w14:textId="77777777">
      <w:pPr>
        <w:pStyle w:val="FootnoteText"/>
        <w:rPr>
          <w:sz w:val="20"/>
          <w:lang w:val="fi-FI"/>
        </w:rPr>
      </w:pPr>
      <w:r w:rsidRPr="00C42E76">
        <w:rPr>
          <w:rStyle w:val="FootnoteReference"/>
          <w:sz w:val="20"/>
        </w:rPr>
        <w:footnoteRef/>
      </w:r>
      <w:r w:rsidRPr="00C42E76">
        <w:rPr>
          <w:sz w:val="20"/>
          <w:lang w:val="fi-FI"/>
        </w:rPr>
        <w:t xml:space="preserve"> OJ C, C/2026/1530, 15.4.2026, ELI: http://data.europa.eu/eli/C/2026/1530/oj. </w:t>
      </w:r>
    </w:p>
  </w:footnote>
  <w:footnote w:id="3">
    <w:p w:rsidR="006E4FF0" w:rsidRPr="00C42E76" w:rsidP="006E4FF0" w14:paraId="659D11A6" w14:textId="77777777">
      <w:pPr>
        <w:pStyle w:val="FootnoteText"/>
        <w:rPr>
          <w:sz w:val="20"/>
        </w:rPr>
      </w:pPr>
      <w:r w:rsidRPr="00C42E76">
        <w:rPr>
          <w:rStyle w:val="FootnoteReference"/>
          <w:sz w:val="20"/>
        </w:rPr>
        <w:footnoteRef/>
      </w:r>
      <w:r w:rsidRPr="00C42E76">
        <w:rPr>
          <w:sz w:val="20"/>
        </w:rPr>
        <w:t xml:space="preserve"> Texts adopted, P10_TA(2026)0231.</w:t>
      </w:r>
    </w:p>
  </w:footnote>
  <w:footnote w:id="4">
    <w:p w:rsidR="006E4FF0" w:rsidRPr="00C42E76" w:rsidP="006E4FF0" w14:paraId="55BAED49" w14:textId="77777777">
      <w:pPr>
        <w:pStyle w:val="FootnoteText"/>
      </w:pPr>
      <w:r w:rsidRPr="00C42E76">
        <w:rPr>
          <w:rStyle w:val="FootnoteReference"/>
          <w:sz w:val="20"/>
        </w:rPr>
        <w:footnoteRef/>
      </w:r>
      <w:r w:rsidRPr="00C42E76">
        <w:rPr>
          <w:sz w:val="20"/>
        </w:rPr>
        <w:t xml:space="preserve"> Texts adopted, P10_TA(2026)0303.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FF0" w:rsidRPr="00C42E76" w14:paraId="5F1189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FF0" w:rsidRPr="00C42E76" w14:paraId="120B85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FF0" w:rsidRPr="00C42E76" w14:paraId="5751270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56"/>
    <w:rsid w:val="00037F46"/>
    <w:rsid w:val="00070E97"/>
    <w:rsid w:val="00094DDA"/>
    <w:rsid w:val="000D4415"/>
    <w:rsid w:val="00117781"/>
    <w:rsid w:val="00143991"/>
    <w:rsid w:val="001817E7"/>
    <w:rsid w:val="001A78C6"/>
    <w:rsid w:val="001B49A3"/>
    <w:rsid w:val="001B4E56"/>
    <w:rsid w:val="001B7CFB"/>
    <w:rsid w:val="001C08B9"/>
    <w:rsid w:val="001C16A7"/>
    <w:rsid w:val="001C62C5"/>
    <w:rsid w:val="001E2450"/>
    <w:rsid w:val="00222BBB"/>
    <w:rsid w:val="00226930"/>
    <w:rsid w:val="00235A5D"/>
    <w:rsid w:val="00254391"/>
    <w:rsid w:val="002574AA"/>
    <w:rsid w:val="00292587"/>
    <w:rsid w:val="002A6C01"/>
    <w:rsid w:val="002C7767"/>
    <w:rsid w:val="00303413"/>
    <w:rsid w:val="003772FA"/>
    <w:rsid w:val="00405D23"/>
    <w:rsid w:val="004076BF"/>
    <w:rsid w:val="00411D03"/>
    <w:rsid w:val="00412503"/>
    <w:rsid w:val="00471D62"/>
    <w:rsid w:val="004B5166"/>
    <w:rsid w:val="00516BD3"/>
    <w:rsid w:val="0058312A"/>
    <w:rsid w:val="005D6861"/>
    <w:rsid w:val="00654CBD"/>
    <w:rsid w:val="006726A1"/>
    <w:rsid w:val="006A27B7"/>
    <w:rsid w:val="006E4FF0"/>
    <w:rsid w:val="006F48B8"/>
    <w:rsid w:val="00706BC0"/>
    <w:rsid w:val="00723A0B"/>
    <w:rsid w:val="007275DF"/>
    <w:rsid w:val="00780A7D"/>
    <w:rsid w:val="007E1E11"/>
    <w:rsid w:val="007F34AC"/>
    <w:rsid w:val="00814BC6"/>
    <w:rsid w:val="008278C0"/>
    <w:rsid w:val="00866D70"/>
    <w:rsid w:val="008A4052"/>
    <w:rsid w:val="008C3103"/>
    <w:rsid w:val="008D7B31"/>
    <w:rsid w:val="008F5EFB"/>
    <w:rsid w:val="00907285"/>
    <w:rsid w:val="00910F7E"/>
    <w:rsid w:val="00981ED6"/>
    <w:rsid w:val="009D24DE"/>
    <w:rsid w:val="00A32337"/>
    <w:rsid w:val="00A4763A"/>
    <w:rsid w:val="00A516B8"/>
    <w:rsid w:val="00A90219"/>
    <w:rsid w:val="00AC6C0E"/>
    <w:rsid w:val="00AF712C"/>
    <w:rsid w:val="00B1175D"/>
    <w:rsid w:val="00B22FEA"/>
    <w:rsid w:val="00B34A46"/>
    <w:rsid w:val="00B90331"/>
    <w:rsid w:val="00B94EA0"/>
    <w:rsid w:val="00BB14E5"/>
    <w:rsid w:val="00BC3002"/>
    <w:rsid w:val="00BC6462"/>
    <w:rsid w:val="00BF2C2D"/>
    <w:rsid w:val="00C23264"/>
    <w:rsid w:val="00C42E76"/>
    <w:rsid w:val="00C766E7"/>
    <w:rsid w:val="00C85D0F"/>
    <w:rsid w:val="00CC09D8"/>
    <w:rsid w:val="00D12F64"/>
    <w:rsid w:val="00D44718"/>
    <w:rsid w:val="00D51FE1"/>
    <w:rsid w:val="00D90D37"/>
    <w:rsid w:val="00D92444"/>
    <w:rsid w:val="00DF792E"/>
    <w:rsid w:val="00DF7943"/>
    <w:rsid w:val="00E03A95"/>
    <w:rsid w:val="00E213FF"/>
    <w:rsid w:val="00E376A7"/>
    <w:rsid w:val="00E53167"/>
    <w:rsid w:val="00EA43FB"/>
    <w:rsid w:val="00EC05E9"/>
    <w:rsid w:val="00ED22B8"/>
    <w:rsid w:val="00F02A2C"/>
    <w:rsid w:val="00F26DE8"/>
    <w:rsid w:val="00F27CF3"/>
    <w:rsid w:val="00F4455A"/>
    <w:rsid w:val="00F7050A"/>
    <w:rsid w:val="00F959BA"/>
    <w:rsid w:val="00FF7016"/>
  </w:rsids>
  <w:docVars>
    <w:docVar w:name="DOCTYPEMNU" w:val="2"/>
    <w:docVar w:name="LastEditedSection" w:val=" 1"/>
    <w:docVar w:name="STATMNU" w:val=" 4"/>
    <w:docVar w:name="strDocTypeID" w:val="RD_Statements"/>
    <w:docVar w:name="strSubDir" w:val="1353"/>
    <w:docVar w:name="TXTLANGUE" w:val="EN"/>
    <w:docVar w:name="TXTLANGUEMIN" w:val="en"/>
    <w:docVar w:name="TXTNRB" w:val="0478/2026"/>
    <w:docVar w:name="TXTNRRSP" w:val="2026/2933"/>
    <w:docVar w:name="TXTROUTE" w:val="RE\1353130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68DEBEA-F48E-4BBC-84B8-1E916733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1C08B9"/>
    <w:pPr>
      <w:tabs>
        <w:tab w:val="center" w:pos="4513"/>
        <w:tab w:val="right" w:pos="9026"/>
      </w:tabs>
    </w:pPr>
  </w:style>
  <w:style w:type="character" w:customStyle="1" w:styleId="FooterChar">
    <w:name w:val="Footer Char"/>
    <w:basedOn w:val="DefaultParagraphFont"/>
    <w:link w:val="Footer"/>
    <w:semiHidden/>
    <w:rsid w:val="001C08B9"/>
    <w:rPr>
      <w:sz w:val="24"/>
    </w:rPr>
  </w:style>
  <w:style w:type="paragraph" w:styleId="FootnoteText">
    <w:name w:val="footnote text"/>
    <w:basedOn w:val="Normal"/>
    <w:link w:val="FootnoteTextChar"/>
    <w:uiPriority w:val="99"/>
    <w:rsid w:val="006E4FF0"/>
    <w:rPr>
      <w:snapToGrid w:val="0"/>
      <w:lang w:eastAsia="en-US"/>
    </w:rPr>
  </w:style>
  <w:style w:type="character" w:customStyle="1" w:styleId="FootnoteTextChar">
    <w:name w:val="Footnote Text Char"/>
    <w:basedOn w:val="DefaultParagraphFont"/>
    <w:link w:val="FootnoteText"/>
    <w:uiPriority w:val="99"/>
    <w:rsid w:val="006E4FF0"/>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6E4FF0"/>
    <w:rPr>
      <w:vertAlign w:val="superscript"/>
    </w:rPr>
  </w:style>
  <w:style w:type="character" w:styleId="CommentReference">
    <w:name w:val="annotation reference"/>
    <w:basedOn w:val="DefaultParagraphFont"/>
    <w:rsid w:val="006E4FF0"/>
    <w:rPr>
      <w:sz w:val="16"/>
      <w:szCs w:val="16"/>
    </w:rPr>
  </w:style>
  <w:style w:type="paragraph" w:styleId="CommentText">
    <w:name w:val="annotation text"/>
    <w:basedOn w:val="Normal"/>
    <w:link w:val="CommentTextChar"/>
    <w:rsid w:val="006E4FF0"/>
    <w:rPr>
      <w:sz w:val="20"/>
    </w:rPr>
  </w:style>
  <w:style w:type="character" w:customStyle="1" w:styleId="CommentTextChar">
    <w:name w:val="Comment Text Char"/>
    <w:basedOn w:val="DefaultParagraphFont"/>
    <w:link w:val="CommentText"/>
    <w:rsid w:val="006E4FF0"/>
  </w:style>
  <w:style w:type="character" w:customStyle="1" w:styleId="NormalHanging12aChar">
    <w:name w:val="NormalHanging12a Char"/>
    <w:basedOn w:val="DefaultParagraphFont"/>
    <w:link w:val="NormalHanging12a"/>
    <w:rsid w:val="006E4FF0"/>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6E4FF0"/>
    <w:pPr>
      <w:widowControl/>
      <w:spacing w:after="160" w:line="240" w:lineRule="exact"/>
    </w:pPr>
    <w:rPr>
      <w:sz w:val="20"/>
      <w:vertAlign w:val="superscript"/>
    </w:rPr>
  </w:style>
  <w:style w:type="character" w:styleId="Hyperlink">
    <w:name w:val="Hyperlink"/>
    <w:basedOn w:val="DefaultParagraphFont"/>
    <w:unhideWhenUsed/>
    <w:rsid w:val="006E4FF0"/>
    <w:rPr>
      <w:color w:val="0563C1" w:themeColor="hyperlink"/>
      <w:u w:val="single"/>
    </w:rPr>
  </w:style>
  <w:style w:type="character" w:styleId="FollowedHyperlink">
    <w:name w:val="FollowedHyperlink"/>
    <w:basedOn w:val="DefaultParagraphFont"/>
    <w:rsid w:val="006E4FF0"/>
    <w:rPr>
      <w:color w:val="954F72" w:themeColor="followedHyperlink"/>
      <w:u w:val="single"/>
    </w:rPr>
  </w:style>
  <w:style w:type="paragraph" w:styleId="Revision">
    <w:name w:val="Revision"/>
    <w:hidden/>
    <w:uiPriority w:val="99"/>
    <w:semiHidden/>
    <w:rsid w:val="00AC6C0E"/>
    <w:rPr>
      <w:sz w:val="24"/>
    </w:rPr>
  </w:style>
  <w:style w:type="paragraph" w:styleId="CommentSubject">
    <w:name w:val="annotation subject"/>
    <w:basedOn w:val="CommentText"/>
    <w:next w:val="CommentText"/>
    <w:link w:val="CommentSubjectChar"/>
    <w:semiHidden/>
    <w:unhideWhenUsed/>
    <w:rsid w:val="001A78C6"/>
    <w:rPr>
      <w:b/>
      <w:bCs/>
    </w:rPr>
  </w:style>
  <w:style w:type="character" w:customStyle="1" w:styleId="CommentSubjectChar">
    <w:name w:val="Comment Subject Char"/>
    <w:basedOn w:val="CommentTextChar"/>
    <w:link w:val="CommentSubject"/>
    <w:semiHidden/>
    <w:rsid w:val="001A7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2026-10-20T09:17:00Z</cp:lastPrinted>
  <dcterms:created xsi:type="dcterms:W3CDTF">2026-10-20T12:48:00Z</dcterms:created>
  <dcterms:modified xsi:type="dcterms:W3CDTF">2026-10-20T12:48:00Z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1353130</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12:51</vt:lpwstr>
  </property>
  <property fmtid="{D5CDD505-2E9C-101B-9397-08002B2CF9AE}" pid="9" name="Created with">
    <vt:lpwstr>10.3.1 Build [20260902]</vt:lpwstr>
  </property>
  <property fmtid="{D5CDD505-2E9C-101B-9397-08002B2CF9AE}" pid="10" name="FooterPath">
    <vt:lpwstr>RE\1353130EN.docx</vt:lpwstr>
  </property>
  <property fmtid="{D5CDD505-2E9C-101B-9397-08002B2CF9AE}" pid="11" name="LastEdited with">
    <vt:lpwstr>10.3.1 Build [20260902]</vt:lpwstr>
  </property>
  <property fmtid="{D5CDD505-2E9C-101B-9397-08002B2CF9AE}" pid="12" name="PE number">
    <vt:lpwstr>788.362</vt:lpwstr>
  </property>
  <property fmtid="{D5CDD505-2E9C-101B-9397-08002B2CF9AE}" pid="13" name="RegistreCheck">
    <vt:lpwstr>OK</vt:lpwstr>
  </property>
</Properties>
</file>