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ED00985"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D56069" w:rsidP="00C85D0F" w14:paraId="5CB1D12E" w14:textId="0F0A20A2">
            <w:pPr>
              <w:pStyle w:val="EPName"/>
            </w:pPr>
            <w:r w:rsidRPr="00D56069">
              <w:t>European Parliament</w:t>
            </w:r>
          </w:p>
          <w:p w:rsidR="008F5EFB" w:rsidRPr="00D56069" w:rsidP="00C85D0F" w14:paraId="2CB2C9BF" w14:textId="257D0F54">
            <w:pPr>
              <w:pStyle w:val="EPTerm"/>
            </w:pPr>
            <w:r w:rsidRPr="00D56069">
              <w:t>2024-2029</w:t>
            </w:r>
          </w:p>
        </w:tc>
        <w:tc>
          <w:tcPr>
            <w:tcW w:w="2268" w:type="dxa"/>
          </w:tcPr>
          <w:p w:rsidR="008F5EFB" w:rsidRPr="00D56069" w:rsidP="00C85D0F" w14:paraId="61F27DC6" w14:textId="77777777">
            <w:pPr>
              <w:pStyle w:val="EPLogo"/>
            </w:pPr>
            <w:r w:rsidRPr="00D5606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8687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D56069" w:rsidP="00E53167" w14:paraId="7E09FF11" w14:textId="77777777">
      <w:pPr>
        <w:pStyle w:val="LineTop"/>
      </w:pPr>
    </w:p>
    <w:p w:rsidR="00E53167" w:rsidRPr="00D56069" w:rsidP="00E53167" w14:paraId="608B2184" w14:textId="2DCB4AEF">
      <w:pPr>
        <w:pStyle w:val="EPBody"/>
      </w:pPr>
      <w:r w:rsidRPr="00D56069">
        <w:t>Plenary sitting</w:t>
      </w:r>
    </w:p>
    <w:p w:rsidR="00094DDA" w:rsidRPr="00D56069" w:rsidP="00094DDA" w14:paraId="5491A5FC" w14:textId="77777777">
      <w:pPr>
        <w:pStyle w:val="LineBottom"/>
      </w:pPr>
    </w:p>
    <w:p w:rsidR="00094DDA" w:rsidRPr="00D56069" w:rsidP="00094DDA" w14:paraId="72999700" w14:textId="169F7EEF">
      <w:pPr>
        <w:pStyle w:val="CoverReference"/>
      </w:pPr>
      <w:r w:rsidRPr="00D56069">
        <w:rPr>
          <w:rStyle w:val="HideTWBExt"/>
          <w:b w:val="0"/>
        </w:rPr>
        <w:t>&lt;NoDocSe&gt;</w:t>
      </w:r>
      <w:r w:rsidRPr="00D56069" w:rsidR="00650DA8">
        <w:t>B10</w:t>
      </w:r>
      <w:r w:rsidRPr="00D56069" w:rsidR="00650DA8">
        <w:noBreakHyphen/>
        <w:t>0483/2026</w:t>
      </w:r>
      <w:r w:rsidRPr="00D56069">
        <w:rPr>
          <w:rStyle w:val="HideTWBExt"/>
          <w:b w:val="0"/>
        </w:rPr>
        <w:t>&lt;/NoDocSe&gt;</w:t>
      </w:r>
    </w:p>
    <w:p w:rsidR="00094DDA" w:rsidRPr="00D56069" w:rsidP="00094DDA" w14:paraId="0942CEC5" w14:textId="5C373C36">
      <w:pPr>
        <w:pStyle w:val="CoverDate"/>
      </w:pPr>
      <w:r w:rsidRPr="00D56069">
        <w:rPr>
          <w:rStyle w:val="HideTWBExt"/>
        </w:rPr>
        <w:t>&lt;Date&gt;</w:t>
      </w:r>
      <w:r w:rsidRPr="00D56069" w:rsidR="00650DA8">
        <w:rPr>
          <w:rStyle w:val="HideTWBInt"/>
        </w:rPr>
        <w:t>{19/10/2026}</w:t>
      </w:r>
      <w:r w:rsidRPr="00D56069" w:rsidR="00650DA8">
        <w:t>19.10.2026</w:t>
      </w:r>
      <w:r w:rsidRPr="00D56069">
        <w:rPr>
          <w:rStyle w:val="HideTWBExt"/>
        </w:rPr>
        <w:t>&lt;/Date&gt;</w:t>
      </w:r>
    </w:p>
    <w:p w:rsidR="00814BC6" w:rsidRPr="00D56069" w14:paraId="6303011B" w14:textId="75E78093">
      <w:pPr>
        <w:pStyle w:val="CoverDocType24a"/>
      </w:pPr>
      <w:r w:rsidRPr="00D56069">
        <w:rPr>
          <w:rStyle w:val="HideTWBExt"/>
          <w:b w:val="0"/>
        </w:rPr>
        <w:t>&lt;TitreType&gt;</w:t>
      </w:r>
      <w:r w:rsidRPr="00D56069" w:rsidR="00650DA8">
        <w:t>MOTION FOR A RESOLUTION</w:t>
      </w:r>
      <w:r w:rsidRPr="00D56069">
        <w:rPr>
          <w:rStyle w:val="HideTWBExt"/>
          <w:b w:val="0"/>
        </w:rPr>
        <w:t>&lt;/TitreType&gt;</w:t>
      </w:r>
    </w:p>
    <w:p w:rsidR="00814BC6" w:rsidRPr="00D56069" w14:paraId="054E42BA" w14:textId="2220459D">
      <w:pPr>
        <w:pStyle w:val="CoverNormal12a"/>
      </w:pPr>
      <w:r w:rsidRPr="00D56069">
        <w:rPr>
          <w:rStyle w:val="HideTWBExt"/>
        </w:rPr>
        <w:t>&lt;TitreSuite&gt;</w:t>
      </w:r>
      <w:r w:rsidRPr="00D56069" w:rsidR="00BC2583">
        <w:t xml:space="preserve">to wind up the debate on </w:t>
      </w:r>
      <w:r w:rsidRPr="00D56069" w:rsidR="00650DA8">
        <w:t>the statement by the Vice-President of the Commission / High Representative of the Union for Foreign Affairs and Security Policy</w:t>
      </w:r>
      <w:r w:rsidRPr="00D56069">
        <w:rPr>
          <w:rStyle w:val="HideTWBExt"/>
        </w:rPr>
        <w:t>&lt;/TitreSuite&gt;</w:t>
      </w:r>
    </w:p>
    <w:p w:rsidR="00814BC6" w:rsidRPr="00D56069" w14:paraId="26628BD9" w14:textId="32676D3C">
      <w:pPr>
        <w:pStyle w:val="CoverNormal12a"/>
      </w:pPr>
      <w:r w:rsidRPr="00D56069">
        <w:rPr>
          <w:rStyle w:val="HideTWBExt"/>
        </w:rPr>
        <w:t>&lt;TitreRecueil&gt;</w:t>
      </w:r>
      <w:r w:rsidRPr="00D56069" w:rsidR="00BC2583">
        <w:t>pursuant to Rule 136(2) of the Rules of Procedure</w:t>
      </w:r>
      <w:r w:rsidRPr="00D56069">
        <w:rPr>
          <w:rStyle w:val="HideTWBExt"/>
        </w:rPr>
        <w:t>&lt;/TitreRecueil&gt;</w:t>
      </w:r>
    </w:p>
    <w:p w:rsidR="00C23264" w:rsidRPr="00D56069" w:rsidP="00C23264" w14:paraId="2D9BD91A" w14:textId="0AB3D37A">
      <w:pPr>
        <w:pStyle w:val="CoverNormal"/>
      </w:pPr>
      <w:r w:rsidRPr="00D56069">
        <w:rPr>
          <w:rStyle w:val="HideTWBExt"/>
        </w:rPr>
        <w:t>&lt;Titre&gt;</w:t>
      </w:r>
      <w:r w:rsidRPr="00D56069" w:rsidR="00BC2583">
        <w:t xml:space="preserve">on </w:t>
      </w:r>
      <w:r w:rsidRPr="00D56069" w:rsidR="00650DA8">
        <w:t>the escalation of Russian strikes in the EU, particularly on Black Sea shipping, threatening human life, regional stability and food security</w:t>
      </w:r>
      <w:r w:rsidRPr="00D56069">
        <w:rPr>
          <w:rStyle w:val="HideTWBExt"/>
        </w:rPr>
        <w:t>&lt;/Titre&gt;</w:t>
      </w:r>
    </w:p>
    <w:p w:rsidR="00C23264" w:rsidRPr="00D56069" w:rsidP="00C23264" w14:paraId="4EE4890B" w14:textId="7F666EF6">
      <w:pPr>
        <w:pStyle w:val="CoverNormal24a"/>
      </w:pPr>
      <w:r w:rsidRPr="00D56069">
        <w:rPr>
          <w:rStyle w:val="HideTWBExt"/>
        </w:rPr>
        <w:t>&lt;DocRef&gt;</w:t>
      </w:r>
      <w:r w:rsidRPr="00D56069" w:rsidR="00BC2583">
        <w:t>(</w:t>
      </w:r>
      <w:r w:rsidRPr="00D56069" w:rsidR="00650DA8">
        <w:t>2026/2933</w:t>
      </w:r>
      <w:r w:rsidRPr="00D56069" w:rsidR="00BC2583">
        <w:t>(RSP))</w:t>
      </w:r>
      <w:r w:rsidRPr="00D56069">
        <w:rPr>
          <w:rStyle w:val="HideTWBExt"/>
        </w:rPr>
        <w:t>&lt;/DocRef&gt;</w:t>
      </w:r>
    </w:p>
    <w:p w:rsidR="002574AA" w:rsidRPr="00D56069" w:rsidP="002574AA" w14:paraId="306A5997" w14:textId="140B04D0">
      <w:pPr>
        <w:pStyle w:val="CoverBold"/>
      </w:pPr>
      <w:r w:rsidRPr="00D56069">
        <w:rPr>
          <w:rStyle w:val="HideTWBExt"/>
          <w:b w:val="0"/>
        </w:rPr>
        <w:t>&lt;RepeatBlock-By&gt;&lt;Depute&gt;</w:t>
      </w:r>
      <w:r w:rsidRPr="00D56069" w:rsidR="00650DA8">
        <w:t xml:space="preserve">Stanislav Stoyanov, Petar Volgin, Tomasz Froelich, Rada </w:t>
      </w:r>
      <w:r w:rsidRPr="00D56069" w:rsidR="00650DA8">
        <w:t>Laykova</w:t>
      </w:r>
      <w:r w:rsidRPr="00D56069">
        <w:rPr>
          <w:rStyle w:val="HideTWBExt"/>
          <w:b w:val="0"/>
        </w:rPr>
        <w:t>&lt;/Depute&gt;</w:t>
      </w:r>
    </w:p>
    <w:p w:rsidR="002574AA" w:rsidRPr="00D56069" w:rsidP="002574AA" w14:paraId="7AFBD396" w14:textId="21976CAD">
      <w:pPr>
        <w:pStyle w:val="CoverNormal"/>
      </w:pPr>
      <w:r w:rsidRPr="00D56069">
        <w:rPr>
          <w:rStyle w:val="HideTWBExt"/>
        </w:rPr>
        <w:t>&lt;Commission&gt;</w:t>
      </w:r>
      <w:r w:rsidRPr="00D56069" w:rsidR="00650DA8">
        <w:rPr>
          <w:rStyle w:val="HideTWBInt"/>
        </w:rPr>
        <w:t>{ESN}</w:t>
      </w:r>
      <w:r w:rsidRPr="00D56069" w:rsidR="00650DA8">
        <w:t>on behalf of the ESN Group</w:t>
      </w:r>
      <w:r w:rsidRPr="00D56069">
        <w:rPr>
          <w:rStyle w:val="HideTWBExt"/>
        </w:rPr>
        <w:t>&lt;/Commission&gt;</w:t>
      </w:r>
    </w:p>
    <w:p w:rsidR="002574AA" w:rsidRPr="00D56069" w:rsidP="002574AA" w14:paraId="29F12A9D" w14:textId="6BE72A0E">
      <w:pPr>
        <w:pStyle w:val="CoverNormal"/>
      </w:pPr>
      <w:r w:rsidRPr="00D56069">
        <w:rPr>
          <w:rStyle w:val="HideTWBExt"/>
        </w:rPr>
        <w:t>&lt;/RepeatBlock-By&gt;</w:t>
      </w:r>
    </w:p>
    <w:p w:rsidR="00814BC6" w:rsidRPr="00D56069" w14:paraId="23FC8C19" w14:textId="66A6E16D">
      <w:pPr>
        <w:pStyle w:val="NormalBold12a"/>
      </w:pPr>
      <w:r w:rsidRPr="00D56069">
        <w:br w:type="page"/>
      </w:r>
      <w:r w:rsidRPr="00D56069" w:rsidR="00650DA8">
        <w:t>B10</w:t>
      </w:r>
      <w:r w:rsidRPr="00D56069" w:rsidR="00650DA8">
        <w:noBreakHyphen/>
        <w:t>0483/2026</w:t>
      </w:r>
    </w:p>
    <w:p w:rsidR="00C23264" w:rsidRPr="00D56069" w:rsidP="00C23264" w14:paraId="2A97645D" w14:textId="72457661">
      <w:pPr>
        <w:pStyle w:val="NormalBold"/>
      </w:pPr>
      <w:r w:rsidRPr="00D56069">
        <w:t xml:space="preserve">European Parliament resolution on </w:t>
      </w:r>
      <w:r w:rsidRPr="00D56069" w:rsidR="00650DA8">
        <w:t>the escalation of Russian strikes in the EU, particularly on Black Sea shipping, threatening human life, regional stability and food security</w:t>
      </w:r>
    </w:p>
    <w:p w:rsidR="00C23264" w:rsidRPr="00D56069" w:rsidP="00DF7943" w14:paraId="0CF20FFE" w14:textId="5BB1134E">
      <w:pPr>
        <w:pStyle w:val="NormalBold"/>
      </w:pPr>
      <w:r w:rsidRPr="00D56069">
        <w:t>(</w:t>
      </w:r>
      <w:r w:rsidRPr="00D56069" w:rsidR="00650DA8">
        <w:t>2026/2933</w:t>
      </w:r>
      <w:r w:rsidRPr="00D56069">
        <w:t>(RSP))</w:t>
      </w:r>
    </w:p>
    <w:p w:rsidR="00CE7E05" w:rsidRPr="00D56069" w:rsidP="00CE7E05" w14:paraId="56D74D6A" w14:textId="77777777">
      <w:pPr>
        <w:pStyle w:val="EPComma"/>
      </w:pPr>
      <w:r w:rsidRPr="00D56069">
        <w:rPr>
          <w:i/>
        </w:rPr>
        <w:t>The European Parliament</w:t>
      </w:r>
      <w:r w:rsidRPr="00D56069">
        <w:t>,</w:t>
      </w:r>
    </w:p>
    <w:p w:rsidR="00CE7E05" w:rsidRPr="00D56069" w:rsidP="00CE7E05" w14:paraId="1CC1B041" w14:textId="50FBAB4E">
      <w:pPr>
        <w:pStyle w:val="NormalHanging12a"/>
        <w:rPr>
          <w:spacing w:val="-2"/>
        </w:rPr>
      </w:pPr>
      <w:r w:rsidRPr="00D56069">
        <w:t>–</w:t>
      </w:r>
      <w:r w:rsidRPr="00D56069">
        <w:tab/>
        <w:t>having regard to the Charter of the United Nations, in particular Article 2(3) on the peaceful settlement of international disputes and Article 2(4) on the prohibition of the threat or use of force,</w:t>
      </w:r>
    </w:p>
    <w:p w:rsidR="00CE7E05" w:rsidRPr="00D56069" w:rsidP="00CE7E05" w14:paraId="4D9371CC" w14:textId="07E01527">
      <w:pPr>
        <w:pStyle w:val="NormalHanging12a"/>
      </w:pPr>
      <w:r w:rsidRPr="00D56069">
        <w:t>–</w:t>
      </w:r>
      <w:r w:rsidRPr="00D56069">
        <w:tab/>
        <w:t>having regard to the United Nations Convention on the Law of the Sea, in particular Articles 2 and 17 thereof concerning sovereignty over the territorial sea and the right of innocent passage and Article 58(1) thereof concerning freedom of navigation in the exclusive economic zone,</w:t>
      </w:r>
    </w:p>
    <w:p w:rsidR="00CE7E05" w:rsidRPr="00D56069" w:rsidP="00CE7E05" w14:paraId="2C818430" w14:textId="06A7E151">
      <w:pPr>
        <w:pStyle w:val="NormalHanging12a"/>
        <w:rPr>
          <w:szCs w:val="24"/>
        </w:rPr>
      </w:pPr>
      <w:r w:rsidRPr="00D56069">
        <w:rPr>
          <w:szCs w:val="24"/>
        </w:rPr>
        <w:t>–</w:t>
      </w:r>
      <w:r w:rsidRPr="00D56069">
        <w:rPr>
          <w:szCs w:val="24"/>
        </w:rPr>
        <w:tab/>
        <w:t xml:space="preserve">having regard to the joint communication </w:t>
      </w:r>
      <w:r w:rsidRPr="00D56069" w:rsidR="00543301">
        <w:rPr>
          <w:szCs w:val="24"/>
        </w:rPr>
        <w:t xml:space="preserve">from </w:t>
      </w:r>
      <w:r w:rsidRPr="00D56069">
        <w:rPr>
          <w:szCs w:val="24"/>
        </w:rPr>
        <w:t xml:space="preserve">the Commission and the High Representative of the Union for Foreign Affairs and Security Policy of 28 May 2025 entitled </w:t>
      </w:r>
      <w:r w:rsidR="00D56069">
        <w:rPr>
          <w:szCs w:val="24"/>
        </w:rPr>
        <w:t>‘</w:t>
      </w:r>
      <w:r w:rsidRPr="00D56069">
        <w:rPr>
          <w:szCs w:val="24"/>
        </w:rPr>
        <w:t>The European Union</w:t>
      </w:r>
      <w:r w:rsidR="00D56069">
        <w:rPr>
          <w:szCs w:val="24"/>
        </w:rPr>
        <w:t>’</w:t>
      </w:r>
      <w:r w:rsidRPr="00D56069">
        <w:rPr>
          <w:szCs w:val="24"/>
        </w:rPr>
        <w:t>s strategic approach to the Black Sea region</w:t>
      </w:r>
      <w:r w:rsidR="00D56069">
        <w:rPr>
          <w:szCs w:val="24"/>
        </w:rPr>
        <w:t>’</w:t>
      </w:r>
      <w:r w:rsidRPr="00D56069">
        <w:rPr>
          <w:szCs w:val="24"/>
        </w:rPr>
        <w:t xml:space="preserve"> (</w:t>
      </w:r>
      <w:r w:rsidRPr="00D56069">
        <w:rPr>
          <w:szCs w:val="24"/>
        </w:rPr>
        <w:t>JOIN(</w:t>
      </w:r>
      <w:r w:rsidRPr="00D56069">
        <w:rPr>
          <w:szCs w:val="24"/>
        </w:rPr>
        <w:t>2025)0135),</w:t>
      </w:r>
    </w:p>
    <w:p w:rsidR="00CE7E05" w:rsidRPr="00D56069" w:rsidP="00CE7E05" w14:paraId="7FB9008C" w14:textId="6902BF5E">
      <w:pPr>
        <w:pStyle w:val="NormalHanging12a"/>
        <w:rPr>
          <w:szCs w:val="24"/>
        </w:rPr>
      </w:pPr>
      <w:r w:rsidRPr="00D56069">
        <w:rPr>
          <w:szCs w:val="24"/>
        </w:rPr>
        <w:t>–</w:t>
      </w:r>
      <w:r w:rsidRPr="00D56069">
        <w:rPr>
          <w:szCs w:val="24"/>
        </w:rPr>
        <w:tab/>
        <w:t xml:space="preserve">having regard to the Joint Report </w:t>
      </w:r>
      <w:r w:rsidRPr="00D56069" w:rsidR="00543301">
        <w:rPr>
          <w:szCs w:val="24"/>
        </w:rPr>
        <w:t xml:space="preserve">from </w:t>
      </w:r>
      <w:r w:rsidRPr="00D56069">
        <w:rPr>
          <w:szCs w:val="24"/>
        </w:rPr>
        <w:t>the Commission and the High Representative of the Union for Foreign Affairs and Security Policy of 3 July 2026 on the implementation of the EU strategic approach to the Black Sea region (</w:t>
      </w:r>
      <w:r w:rsidRPr="00D56069">
        <w:rPr>
          <w:szCs w:val="24"/>
        </w:rPr>
        <w:t>JOIN(</w:t>
      </w:r>
      <w:r w:rsidRPr="00D56069">
        <w:rPr>
          <w:szCs w:val="24"/>
        </w:rPr>
        <w:t>2026)0015),</w:t>
      </w:r>
    </w:p>
    <w:p w:rsidR="00CE7E05" w:rsidRPr="00D56069" w:rsidP="00CE7E05" w14:paraId="7756F643" w14:textId="77777777">
      <w:pPr>
        <w:pStyle w:val="NormalHanging12a"/>
      </w:pPr>
      <w:r w:rsidRPr="00D56069">
        <w:t>–</w:t>
      </w:r>
      <w:r w:rsidRPr="00D56069">
        <w:tab/>
        <w:t>having regard to Rule 136(2) of its Rules of Procedure,</w:t>
      </w:r>
    </w:p>
    <w:p w:rsidR="00CE7E05" w:rsidRPr="00D56069" w:rsidP="00CE7E05" w14:paraId="5E326ED6" w14:textId="09F0B223">
      <w:pPr>
        <w:pStyle w:val="NormalHanging12a"/>
      </w:pPr>
      <w:r w:rsidRPr="00D56069">
        <w:t>A.</w:t>
      </w:r>
      <w:r w:rsidRPr="00D56069">
        <w:tab/>
        <w:t>whereas the Black Sea region and south-eastern Europe are of strategic importance for the economic, transport, digital and energy connectivity between Europe, the South Caucasus and Central Asia; whereas the Black Sea forms part of the EU</w:t>
      </w:r>
      <w:r w:rsidR="00D56069">
        <w:t>’</w:t>
      </w:r>
      <w:r w:rsidRPr="00D56069">
        <w:t>s external maritime border, and the region</w:t>
      </w:r>
      <w:r w:rsidR="00D56069">
        <w:t>’</w:t>
      </w:r>
      <w:r w:rsidRPr="00D56069">
        <w:t>s stability and resilience are essential to European security;</w:t>
      </w:r>
    </w:p>
    <w:p w:rsidR="00CE7E05" w:rsidRPr="00D56069" w:rsidP="00CE7E05" w14:paraId="4FD2E361" w14:textId="2701C1DA">
      <w:pPr>
        <w:pStyle w:val="NormalHanging12a"/>
      </w:pPr>
      <w:r w:rsidRPr="00D56069">
        <w:t>B.</w:t>
      </w:r>
      <w:r w:rsidRPr="00D56069">
        <w:tab/>
        <w:t>whereas all attacks and maritime incidents in the Black Sea, including those involving commercial vessels in Bulgaria</w:t>
      </w:r>
      <w:r w:rsidR="00D56069">
        <w:t>’</w:t>
      </w:r>
      <w:r w:rsidRPr="00D56069">
        <w:t>s exclusive economic zone and Romania</w:t>
      </w:r>
      <w:r w:rsidR="00D56069">
        <w:t>’</w:t>
      </w:r>
      <w:r w:rsidRPr="00D56069">
        <w:t>s territorial waters, endanger human lives, threaten civilian navigation and critical infrastructure, disrupt international trade and transport connectivity and pose serious environmental risks; whereas the attacks by both parties against maritime and energy-related targets, including naval vessels, port facilities, oil terminals and refineries, have serious consequences for regional stability;</w:t>
      </w:r>
    </w:p>
    <w:p w:rsidR="00CE7E05" w:rsidRPr="00D56069" w:rsidP="00CE7E05" w14:paraId="6869DFB2" w14:textId="49E2E3AC">
      <w:pPr>
        <w:pStyle w:val="NormalHanging12a"/>
      </w:pPr>
      <w:r w:rsidRPr="00D56069">
        <w:t>C.</w:t>
      </w:r>
      <w:r w:rsidRPr="00D56069">
        <w:tab/>
        <w:t>whereas disruptions to energy supplies and market volatility undermine the resilience of the EU and its Member States, increase costs for households and businesses, weaken EU industrial competitiveness and discourage private investment;</w:t>
      </w:r>
    </w:p>
    <w:p w:rsidR="00CE7E05" w:rsidRPr="00D56069" w:rsidP="00CE7E05" w14:paraId="40B7993D" w14:textId="77777777">
      <w:pPr>
        <w:pStyle w:val="NormalHanging12a"/>
      </w:pPr>
      <w:r w:rsidRPr="00D56069">
        <w:t>D.</w:t>
      </w:r>
      <w:r w:rsidRPr="00D56069">
        <w:tab/>
        <w:t xml:space="preserve">whereas diplomatic engagement and de-escalation are essential to achieving a negotiated settlement of the conflict between the Russian Federation and Ukraine and </w:t>
      </w:r>
      <w:r w:rsidRPr="00D56069">
        <w:t>lasting stability in the Black Sea region; whereas regional integration and restoration of mutually beneficial economic relations, transport connectivity and energy cooperation can contribute to confidence-building and reconciliation in the Black Sea region;</w:t>
      </w:r>
      <w:r w:rsidRPr="00D56069">
        <w:tab/>
      </w:r>
    </w:p>
    <w:p w:rsidR="00CE7E05" w:rsidRPr="00D56069" w:rsidP="00CE7E05" w14:paraId="5E7E9060" w14:textId="77777777">
      <w:pPr>
        <w:pStyle w:val="NormalHanging12a"/>
        <w:rPr>
          <w:spacing w:val="-2"/>
        </w:rPr>
      </w:pPr>
      <w:r w:rsidRPr="00D56069">
        <w:t>1.</w:t>
      </w:r>
      <w:r w:rsidRPr="00D56069">
        <w:tab/>
        <w:t>Expresses serious concern over the escalation of hostilities in the Black Sea and the growing risks to human life, civilian shipping and regional stability;</w:t>
      </w:r>
    </w:p>
    <w:p w:rsidR="00CE7E05" w:rsidRPr="00D56069" w:rsidP="00CE7E05" w14:paraId="38759D33" w14:textId="77777777">
      <w:pPr>
        <w:pStyle w:val="NormalHanging12a"/>
        <w:rPr>
          <w:spacing w:val="-2"/>
        </w:rPr>
      </w:pPr>
      <w:r w:rsidRPr="00D56069">
        <w:t>2.</w:t>
      </w:r>
      <w:r w:rsidRPr="00D56069">
        <w:tab/>
        <w:t>Stresses that all attacks in the Black Sea must be assessed consistently and impartially in accordance with applicable international law, irrespective of the party responsible; rejects double standards and selective condemnation of attacks;</w:t>
      </w:r>
    </w:p>
    <w:p w:rsidR="00CE7E05" w:rsidRPr="00D56069" w:rsidP="00CE7E05" w14:paraId="131C7DB4" w14:textId="77777777">
      <w:pPr>
        <w:pStyle w:val="NormalHanging12a"/>
      </w:pPr>
      <w:r w:rsidRPr="00D56069">
        <w:t>3.</w:t>
      </w:r>
      <w:r w:rsidRPr="00D56069">
        <w:tab/>
        <w:t>Urges all parties to exercise restraint, refrain from actions that endanger security, including for international shipping, and take immediate steps to prevent further escalation or the spread of the conflict to other countries in the region;</w:t>
      </w:r>
    </w:p>
    <w:p w:rsidR="00CE7E05" w:rsidRPr="00D56069" w:rsidP="00CE7E05" w14:paraId="470F2381" w14:textId="77777777">
      <w:pPr>
        <w:pStyle w:val="NormalHanging12a"/>
      </w:pPr>
      <w:r w:rsidRPr="00D56069">
        <w:t>4.</w:t>
      </w:r>
      <w:r w:rsidRPr="00D56069">
        <w:tab/>
        <w:t>Takes note of the response to the maritime incidents in the Black Sea, including the deployment of specially trained Bulgarian personnel to inspect an affected vessel under difficult conditions;</w:t>
      </w:r>
    </w:p>
    <w:p w:rsidR="00CE7E05" w:rsidRPr="00D56069" w:rsidP="00CE7E05" w14:paraId="2AD1DFC9" w14:textId="77777777">
      <w:pPr>
        <w:pStyle w:val="NormalHanging12a"/>
      </w:pPr>
      <w:r w:rsidRPr="00D56069">
        <w:t>5.</w:t>
      </w:r>
      <w:r w:rsidRPr="00D56069">
        <w:tab/>
        <w:t>Stresses that continued military attacks in the Black Sea undermine prospects for a peaceful settlement of the conflict; supports diplomatic initiatives aimed at achieving lasting peace in Ukraine and promoting reconciliation, mutual trust and the restoration of constructive political and economic relations in the region;</w:t>
      </w:r>
    </w:p>
    <w:p w:rsidR="00CE7E05" w:rsidRPr="00D56069" w:rsidP="00CE7E05" w14:paraId="5082E647" w14:textId="20451707">
      <w:pPr>
        <w:pStyle w:val="NormalHanging12a"/>
      </w:pPr>
      <w:r w:rsidRPr="00D56069">
        <w:t>6.</w:t>
      </w:r>
      <w:r w:rsidRPr="00D56069">
        <w:tab/>
        <w:t>Takes note of diplomatic contacts between the United States and Russia, including on energy-related issues; calls for the EU to pursue a pragmatic foreign policy guided by the strategic interests of its Member States and a willingness to engage in dialogue with all relevant parties;</w:t>
      </w:r>
    </w:p>
    <w:p w:rsidR="00CE7E05" w:rsidRPr="00D56069" w:rsidP="00CE7E05" w14:paraId="48C91DD7" w14:textId="77777777">
      <w:pPr>
        <w:pStyle w:val="NormalHanging12a"/>
      </w:pPr>
      <w:r w:rsidRPr="00D56069">
        <w:t>7.</w:t>
      </w:r>
      <w:r w:rsidRPr="00D56069">
        <w:tab/>
        <w:t>Reaffirms the sovereign responsibility of the Member States for national defence; stresses that security challenges in the Black Sea must not be used to justify the further centralisation of EU defence policy, compulsory military integration or the transfer of national control over defence expenditure and procurement;</w:t>
      </w:r>
    </w:p>
    <w:p w:rsidR="00CE7E05" w:rsidRPr="00D56069" w:rsidP="00CE7E05" w14:paraId="668A9818" w14:textId="15911D58">
      <w:pPr>
        <w:pStyle w:val="NormalHanging12a"/>
      </w:pPr>
      <w:r w:rsidRPr="00D56069">
        <w:t>8.</w:t>
      </w:r>
      <w:r w:rsidRPr="00D56069">
        <w:tab/>
        <w:t>Invites the Commission to support and strengthen current regional cooperation frameworks in the Black Sea, promoting mutual understanding, dialogue and stability through a bottom-up approach based on the priorities of the countries concerned;</w:t>
      </w:r>
    </w:p>
    <w:p w:rsidR="00CE7E05" w:rsidRPr="00D56069" w:rsidP="00CE7E05" w14:paraId="6DF9CC7F" w14:textId="067B60FD">
      <w:pPr>
        <w:pStyle w:val="NormalHanging12a"/>
      </w:pPr>
      <w:r w:rsidRPr="00D56069">
        <w:t>9.</w:t>
      </w:r>
      <w:r w:rsidRPr="00D56069">
        <w:tab/>
        <w:t>Calls for the EU to implement its Strategic Approach to the Black Sea through specific initiatives promoting cross-regional security, connectivity and industrial cooperation; stresses that regional economic cooperation and connectivity do not require deeper integration into the EU; invites the Commission to assess regional needs and engage with economic and business stakeholders and investors to leverage private investment and expertise for projects strengthening interconnected industries, trade and economic resilience; stresses the importance of strengthening connectivity between Black Sea and Danube ports and the trans-European transport network;</w:t>
      </w:r>
    </w:p>
    <w:p w:rsidR="00CE7E05" w:rsidRPr="00D56069" w:rsidP="00CE7E05" w14:paraId="2327270A" w14:textId="7D3AFBAD">
      <w:pPr>
        <w:pStyle w:val="NormalHanging12a"/>
      </w:pPr>
      <w:r w:rsidRPr="00D56069">
        <w:t>10.</w:t>
      </w:r>
      <w:r w:rsidRPr="00D56069">
        <w:tab/>
        <w:t xml:space="preserve">Calls for the strategic use of all available instruments and financing under the current and the next EU Multiannual Financial Framework </w:t>
      </w:r>
      <w:r w:rsidRPr="00D56069">
        <w:t>in order to</w:t>
      </w:r>
      <w:r w:rsidRPr="00D56069">
        <w:t xml:space="preserve"> create logistic gateways via the Black Sea and Central Asia that will enable European companies to compete </w:t>
      </w:r>
      <w:r w:rsidRPr="00D56069">
        <w:t xml:space="preserve">better internationally and increase the trade flows throughout the </w:t>
      </w:r>
      <w:r w:rsidRPr="00D56069" w:rsidR="00B81709">
        <w:t>Trans-Caspian International Transport Route</w:t>
      </w:r>
      <w:r w:rsidRPr="00D56069">
        <w:t>;</w:t>
      </w:r>
    </w:p>
    <w:p w:rsidR="00CE7E05" w:rsidRPr="00D56069" w:rsidP="00CE7E05" w14:paraId="30116AB3" w14:textId="77777777">
      <w:pPr>
        <w:pStyle w:val="NormalHanging12a"/>
      </w:pPr>
      <w:r w:rsidRPr="00D56069">
        <w:t>11.</w:t>
      </w:r>
      <w:r w:rsidRPr="00D56069">
        <w:tab/>
        <w:t>Instructs its President to forward this resolution to the Council, the Commission, the Vice-President of the Commission / High Representative of the Union for Foreign Affairs and Security Policy and the national parliaments of the Member States.</w:t>
      </w:r>
    </w:p>
    <w:p w:rsidR="00CE7E05" w:rsidRPr="00D56069" w:rsidP="00CE7E05" w14:paraId="2737141E" w14:textId="77777777">
      <w:pPr>
        <w:pStyle w:val="NormalHanging12a"/>
      </w:pPr>
    </w:p>
    <w:p w:rsidR="00866D70" w:rsidRPr="00D56069" w:rsidP="00CE7E05" w14:paraId="4FD0D72B" w14:textId="77777777">
      <w:pPr>
        <w:pStyle w:val="EPComma"/>
      </w:pPr>
    </w:p>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DA8" w:rsidRPr="00D56069" w:rsidP="00650DA8" w14:paraId="1E2154E5" w14:textId="77777777">
    <w:pPr>
      <w:pStyle w:val="EPFooter"/>
      <w:rPr>
        <w:lang w:val="fr-BE"/>
      </w:rPr>
    </w:pPr>
    <w:r w:rsidRPr="00D56069">
      <w:rPr>
        <w:lang w:val="fr-BE"/>
      </w:rPr>
      <w:t>PE</w:t>
    </w:r>
    <w:r w:rsidRPr="00D56069">
      <w:rPr>
        <w:rStyle w:val="HideTWBExt"/>
        <w:lang w:val="fr-BE"/>
      </w:rPr>
      <w:t>&lt;NoPE&gt;</w:t>
    </w:r>
    <w:r w:rsidRPr="00D56069">
      <w:rPr>
        <w:lang w:val="fr-BE"/>
      </w:rPr>
      <w:t>788.367</w:t>
    </w:r>
    <w:r w:rsidRPr="00D56069">
      <w:rPr>
        <w:rStyle w:val="HideTWBExt"/>
        <w:lang w:val="fr-BE"/>
      </w:rPr>
      <w:t>&lt;/NoPE&gt;&lt;Version&gt;</w:t>
    </w:r>
    <w:r w:rsidRPr="00D56069">
      <w:rPr>
        <w:lang w:val="fr-BE"/>
      </w:rPr>
      <w:t>v01-00</w:t>
    </w:r>
    <w:r w:rsidRPr="00D56069">
      <w:rPr>
        <w:rStyle w:val="HideTWBExt"/>
        <w:lang w:val="fr-BE"/>
      </w:rPr>
      <w:t>&lt;/Version&gt;</w:t>
    </w:r>
    <w:r w:rsidRPr="00D56069">
      <w:rPr>
        <w:lang w:val="fr-BE"/>
      </w:rPr>
      <w:tab/>
    </w:r>
    <w:r w:rsidRPr="00D56069">
      <w:fldChar w:fldCharType="begin"/>
    </w:r>
    <w:r w:rsidRPr="00D56069">
      <w:rPr>
        <w:lang w:val="fr-BE"/>
      </w:rPr>
      <w:instrText xml:space="preserve"> PAGE  \* MERGEFORMAT </w:instrText>
    </w:r>
    <w:r w:rsidRPr="00D56069">
      <w:fldChar w:fldCharType="separate"/>
    </w:r>
    <w:r w:rsidRPr="00D56069">
      <w:rPr>
        <w:noProof/>
        <w:lang w:val="fr-BE"/>
      </w:rPr>
      <w:t>2</w:t>
    </w:r>
    <w:r w:rsidRPr="00D56069">
      <w:fldChar w:fldCharType="end"/>
    </w:r>
    <w:r w:rsidRPr="00D56069">
      <w:rPr>
        <w:lang w:val="fr-BE"/>
      </w:rPr>
      <w:t>/</w:t>
    </w:r>
    <w:r w:rsidRPr="00D56069">
      <w:fldChar w:fldCharType="begin"/>
    </w:r>
    <w:r w:rsidRPr="00D56069">
      <w:rPr>
        <w:lang w:val="fr-BE"/>
      </w:rPr>
      <w:instrText xml:space="preserve"> NUMPAGES  \* MERGEFORMAT </w:instrText>
    </w:r>
    <w:r w:rsidRPr="00D56069">
      <w:fldChar w:fldCharType="separate"/>
    </w:r>
    <w:r w:rsidRPr="00D56069">
      <w:rPr>
        <w:noProof/>
        <w:lang w:val="fr-BE"/>
      </w:rPr>
      <w:t>2</w:t>
    </w:r>
    <w:r w:rsidRPr="00D56069">
      <w:rPr>
        <w:noProof/>
      </w:rPr>
      <w:fldChar w:fldCharType="end"/>
    </w:r>
    <w:r w:rsidRPr="00D56069">
      <w:rPr>
        <w:lang w:val="fr-BE"/>
      </w:rPr>
      <w:tab/>
    </w:r>
    <w:r w:rsidRPr="00D56069">
      <w:rPr>
        <w:rStyle w:val="HideTWBExt"/>
        <w:lang w:val="fr-BE"/>
      </w:rPr>
      <w:t>&lt;PathFdR&gt;</w:t>
    </w:r>
    <w:r w:rsidRPr="00D56069">
      <w:rPr>
        <w:lang w:val="fr-BE"/>
      </w:rPr>
      <w:t>RE\1353132EN.docx</w:t>
    </w:r>
    <w:r w:rsidRPr="00D56069">
      <w:rPr>
        <w:rStyle w:val="HideTWBExt"/>
        <w:lang w:val="fr-BE"/>
      </w:rPr>
      <w:t>&lt;/PathFdR&gt;</w:t>
    </w:r>
  </w:p>
  <w:p w:rsidR="00A90219" w:rsidRPr="00D56069" w:rsidP="00650DA8" w14:paraId="2B3905DE" w14:textId="14B31470">
    <w:pPr>
      <w:pStyle w:val="EPFooter2"/>
    </w:pPr>
    <w:r w:rsidRPr="00D56069">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DA8" w:rsidRPr="00D56069" w:rsidP="00650DA8" w14:paraId="1D1A2576" w14:textId="77777777">
    <w:pPr>
      <w:pStyle w:val="EPFooter"/>
      <w:rPr>
        <w:lang w:val="fr-BE"/>
      </w:rPr>
    </w:pPr>
    <w:r w:rsidRPr="00D56069">
      <w:rPr>
        <w:rStyle w:val="HideTWBExt"/>
        <w:lang w:val="fr-BE"/>
      </w:rPr>
      <w:t>&lt;PathFdR&gt;</w:t>
    </w:r>
    <w:r w:rsidRPr="00D56069">
      <w:rPr>
        <w:lang w:val="fr-BE"/>
      </w:rPr>
      <w:t>RE\1353132EN.docx</w:t>
    </w:r>
    <w:r w:rsidRPr="00D56069">
      <w:rPr>
        <w:rStyle w:val="HideTWBExt"/>
        <w:lang w:val="fr-BE"/>
      </w:rPr>
      <w:t>&lt;/PathFdR&gt;</w:t>
    </w:r>
    <w:r w:rsidRPr="00D56069">
      <w:rPr>
        <w:lang w:val="fr-BE"/>
      </w:rPr>
      <w:tab/>
    </w:r>
    <w:r w:rsidRPr="00D56069">
      <w:fldChar w:fldCharType="begin"/>
    </w:r>
    <w:r w:rsidRPr="00D56069">
      <w:rPr>
        <w:lang w:val="fr-BE"/>
      </w:rPr>
      <w:instrText xml:space="preserve"> PAGE  \* MERGEFORMAT </w:instrText>
    </w:r>
    <w:r w:rsidRPr="00D56069">
      <w:fldChar w:fldCharType="separate"/>
    </w:r>
    <w:r w:rsidRPr="00D56069">
      <w:rPr>
        <w:noProof/>
        <w:lang w:val="fr-BE"/>
      </w:rPr>
      <w:t>2</w:t>
    </w:r>
    <w:r w:rsidRPr="00D56069">
      <w:fldChar w:fldCharType="end"/>
    </w:r>
    <w:r w:rsidRPr="00D56069">
      <w:rPr>
        <w:lang w:val="fr-BE"/>
      </w:rPr>
      <w:t>/</w:t>
    </w:r>
    <w:r w:rsidRPr="00D56069">
      <w:fldChar w:fldCharType="begin"/>
    </w:r>
    <w:r w:rsidRPr="00D56069">
      <w:rPr>
        <w:lang w:val="fr-BE"/>
      </w:rPr>
      <w:instrText xml:space="preserve"> NUMPAGES  \* MERGEFORMAT </w:instrText>
    </w:r>
    <w:r w:rsidRPr="00D56069">
      <w:fldChar w:fldCharType="separate"/>
    </w:r>
    <w:r w:rsidRPr="00D56069">
      <w:rPr>
        <w:noProof/>
        <w:lang w:val="fr-BE"/>
      </w:rPr>
      <w:t>2</w:t>
    </w:r>
    <w:r w:rsidRPr="00D56069">
      <w:rPr>
        <w:noProof/>
      </w:rPr>
      <w:fldChar w:fldCharType="end"/>
    </w:r>
    <w:r w:rsidRPr="00D56069">
      <w:rPr>
        <w:lang w:val="fr-BE"/>
      </w:rPr>
      <w:tab/>
      <w:t>PE</w:t>
    </w:r>
    <w:r w:rsidRPr="00D56069">
      <w:rPr>
        <w:rStyle w:val="HideTWBExt"/>
        <w:lang w:val="fr-BE"/>
      </w:rPr>
      <w:t>&lt;NoPE&gt;</w:t>
    </w:r>
    <w:r w:rsidRPr="00D56069">
      <w:rPr>
        <w:lang w:val="fr-BE"/>
      </w:rPr>
      <w:t>788.367</w:t>
    </w:r>
    <w:r w:rsidRPr="00D56069">
      <w:rPr>
        <w:rStyle w:val="HideTWBExt"/>
        <w:lang w:val="fr-BE"/>
      </w:rPr>
      <w:t>&lt;/NoPE&gt;&lt;Version&gt;</w:t>
    </w:r>
    <w:r w:rsidRPr="00D56069">
      <w:rPr>
        <w:lang w:val="fr-BE"/>
      </w:rPr>
      <w:t>v01-00</w:t>
    </w:r>
    <w:r w:rsidRPr="00D56069">
      <w:rPr>
        <w:rStyle w:val="HideTWBExt"/>
        <w:lang w:val="fr-BE"/>
      </w:rPr>
      <w:t>&lt;/Version&gt;</w:t>
    </w:r>
  </w:p>
  <w:p w:rsidR="00A90219" w:rsidRPr="00D56069" w:rsidP="00650DA8" w14:paraId="7ADFCA1B" w14:textId="11E93038">
    <w:pPr>
      <w:pStyle w:val="EPFooter2"/>
    </w:pPr>
    <w:r w:rsidRPr="00D56069">
      <w:rPr>
        <w:lang w:val="fr-BE"/>
      </w:rPr>
      <w:tab/>
    </w:r>
    <w:r w:rsidRPr="00D56069">
      <w:rPr>
        <w:lang w:val="fr-BE"/>
      </w:rPr>
      <w:tab/>
    </w:r>
    <w:r w:rsidRPr="00D56069">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DA8" w:rsidRPr="00D56069" w:rsidP="00650DA8" w14:paraId="5C6CF03F" w14:textId="77777777">
    <w:pPr>
      <w:pStyle w:val="EPFooter"/>
      <w:rPr>
        <w:lang w:val="fr-BE"/>
      </w:rPr>
    </w:pPr>
    <w:r w:rsidRPr="00D56069">
      <w:rPr>
        <w:rStyle w:val="HideTWBExt"/>
        <w:lang w:val="fr-BE"/>
      </w:rPr>
      <w:t>&lt;PathFdR&gt;</w:t>
    </w:r>
    <w:r w:rsidRPr="00D56069">
      <w:rPr>
        <w:lang w:val="fr-BE"/>
      </w:rPr>
      <w:t>RE\1353132EN.docx</w:t>
    </w:r>
    <w:r w:rsidRPr="00D56069">
      <w:rPr>
        <w:rStyle w:val="HideTWBExt"/>
        <w:lang w:val="fr-BE"/>
      </w:rPr>
      <w:t>&lt;/PathFdR&gt;</w:t>
    </w:r>
    <w:r w:rsidRPr="00D56069">
      <w:rPr>
        <w:lang w:val="fr-BE"/>
      </w:rPr>
      <w:tab/>
    </w:r>
    <w:r w:rsidRPr="00D56069">
      <w:rPr>
        <w:lang w:val="fr-BE"/>
      </w:rPr>
      <w:tab/>
      <w:t>PE</w:t>
    </w:r>
    <w:r w:rsidRPr="00D56069">
      <w:rPr>
        <w:rStyle w:val="HideTWBExt"/>
        <w:lang w:val="fr-BE"/>
      </w:rPr>
      <w:t>&lt;NoPE&gt;</w:t>
    </w:r>
    <w:r w:rsidRPr="00D56069">
      <w:rPr>
        <w:lang w:val="fr-BE"/>
      </w:rPr>
      <w:t>788.367</w:t>
    </w:r>
    <w:r w:rsidRPr="00D56069">
      <w:rPr>
        <w:rStyle w:val="HideTWBExt"/>
        <w:lang w:val="fr-BE"/>
      </w:rPr>
      <w:t>&lt;/NoPE&gt;&lt;Version&gt;</w:t>
    </w:r>
    <w:r w:rsidRPr="00D56069">
      <w:rPr>
        <w:lang w:val="fr-BE"/>
      </w:rPr>
      <w:t>v01-00</w:t>
    </w:r>
    <w:r w:rsidRPr="00D56069">
      <w:rPr>
        <w:rStyle w:val="HideTWBExt"/>
        <w:lang w:val="fr-BE"/>
      </w:rPr>
      <w:t>&lt;/Version&gt;</w:t>
    </w:r>
  </w:p>
  <w:p w:rsidR="00A90219" w:rsidRPr="00D56069" w:rsidP="00650DA8" w14:paraId="79EF2674" w14:textId="354BA6B1">
    <w:pPr>
      <w:pStyle w:val="EPFooter2"/>
    </w:pPr>
    <w:r w:rsidRPr="00D56069">
      <w:t>EN</w:t>
    </w:r>
    <w:r w:rsidRPr="00D56069">
      <w:tab/>
    </w:r>
    <w:r w:rsidRPr="00D56069">
      <w:rPr>
        <w:b w:val="0"/>
        <w:i/>
        <w:color w:val="C0C0C0"/>
        <w:sz w:val="22"/>
      </w:rPr>
      <w:t>United in diversity</w:t>
    </w:r>
    <w:r w:rsidRPr="00D56069">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E05" w:rsidRPr="00D56069" w14:paraId="407803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E05" w:rsidRPr="00D56069" w14:paraId="67C0149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E05" w:rsidRPr="00D56069" w14:paraId="6887493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83"/>
    <w:rsid w:val="00037F46"/>
    <w:rsid w:val="000410E1"/>
    <w:rsid w:val="00094DDA"/>
    <w:rsid w:val="000B50C6"/>
    <w:rsid w:val="00117781"/>
    <w:rsid w:val="001B49A3"/>
    <w:rsid w:val="001B7CFB"/>
    <w:rsid w:val="001C16A7"/>
    <w:rsid w:val="001C62C5"/>
    <w:rsid w:val="001E2450"/>
    <w:rsid w:val="00222BBB"/>
    <w:rsid w:val="002574AA"/>
    <w:rsid w:val="002A6C01"/>
    <w:rsid w:val="002C7767"/>
    <w:rsid w:val="00303413"/>
    <w:rsid w:val="00356081"/>
    <w:rsid w:val="003772FA"/>
    <w:rsid w:val="00411D03"/>
    <w:rsid w:val="00412503"/>
    <w:rsid w:val="00460019"/>
    <w:rsid w:val="00471D62"/>
    <w:rsid w:val="004B5166"/>
    <w:rsid w:val="004E049B"/>
    <w:rsid w:val="0050056D"/>
    <w:rsid w:val="0051380F"/>
    <w:rsid w:val="00516BD3"/>
    <w:rsid w:val="00543301"/>
    <w:rsid w:val="0058312A"/>
    <w:rsid w:val="005D171B"/>
    <w:rsid w:val="005D6861"/>
    <w:rsid w:val="00650DA8"/>
    <w:rsid w:val="00654CBD"/>
    <w:rsid w:val="006726A1"/>
    <w:rsid w:val="006A27B7"/>
    <w:rsid w:val="006F48B8"/>
    <w:rsid w:val="00706BC0"/>
    <w:rsid w:val="00723A0B"/>
    <w:rsid w:val="007275DF"/>
    <w:rsid w:val="00760288"/>
    <w:rsid w:val="00770940"/>
    <w:rsid w:val="00780A7D"/>
    <w:rsid w:val="007E1E11"/>
    <w:rsid w:val="00814BC6"/>
    <w:rsid w:val="008278C0"/>
    <w:rsid w:val="00866D70"/>
    <w:rsid w:val="008A4052"/>
    <w:rsid w:val="008D7B31"/>
    <w:rsid w:val="008E19B1"/>
    <w:rsid w:val="008F5EFB"/>
    <w:rsid w:val="00907285"/>
    <w:rsid w:val="00910F7E"/>
    <w:rsid w:val="00981ED6"/>
    <w:rsid w:val="009D24DE"/>
    <w:rsid w:val="00A32337"/>
    <w:rsid w:val="00A4763A"/>
    <w:rsid w:val="00A516B8"/>
    <w:rsid w:val="00A73DA5"/>
    <w:rsid w:val="00A90219"/>
    <w:rsid w:val="00AD72BC"/>
    <w:rsid w:val="00B34A46"/>
    <w:rsid w:val="00B81709"/>
    <w:rsid w:val="00B90331"/>
    <w:rsid w:val="00BC2583"/>
    <w:rsid w:val="00BC3002"/>
    <w:rsid w:val="00BF2C2D"/>
    <w:rsid w:val="00C23264"/>
    <w:rsid w:val="00C85D0F"/>
    <w:rsid w:val="00CC09D8"/>
    <w:rsid w:val="00CE7E05"/>
    <w:rsid w:val="00D12F64"/>
    <w:rsid w:val="00D44718"/>
    <w:rsid w:val="00D51FE1"/>
    <w:rsid w:val="00D56069"/>
    <w:rsid w:val="00D64F87"/>
    <w:rsid w:val="00D90D37"/>
    <w:rsid w:val="00DF7943"/>
    <w:rsid w:val="00E53167"/>
    <w:rsid w:val="00EA43FB"/>
    <w:rsid w:val="00EC05E9"/>
    <w:rsid w:val="00ED22B8"/>
    <w:rsid w:val="00F02A2C"/>
    <w:rsid w:val="00F17003"/>
    <w:rsid w:val="00F26DE8"/>
    <w:rsid w:val="00F4455A"/>
    <w:rsid w:val="00F7050A"/>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83/2026"/>
    <w:docVar w:name="TXTNRRSP" w:val="2026/2933"/>
    <w:docVar w:name="TXTROUTE" w:val="RE\1353132EN.docx"/>
    <w:docVar w:name="TXTTITLE" w:val="the e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462D875-DB03-4CE3-BE34-DF0DBE21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770940"/>
    <w:pPr>
      <w:tabs>
        <w:tab w:val="center" w:pos="4513"/>
        <w:tab w:val="right" w:pos="9026"/>
      </w:tabs>
    </w:pPr>
  </w:style>
  <w:style w:type="character" w:customStyle="1" w:styleId="FooterChar">
    <w:name w:val="Footer Char"/>
    <w:basedOn w:val="DefaultParagraphFont"/>
    <w:link w:val="Footer"/>
    <w:semiHidden/>
    <w:rsid w:val="00770940"/>
    <w:rPr>
      <w:sz w:val="24"/>
    </w:rPr>
  </w:style>
  <w:style w:type="character" w:styleId="CommentReference">
    <w:name w:val="annotation reference"/>
    <w:basedOn w:val="DefaultParagraphFont"/>
    <w:rsid w:val="00CE7E05"/>
    <w:rPr>
      <w:sz w:val="16"/>
      <w:szCs w:val="16"/>
    </w:rPr>
  </w:style>
  <w:style w:type="paragraph" w:styleId="CommentText">
    <w:name w:val="annotation text"/>
    <w:basedOn w:val="Normal"/>
    <w:link w:val="CommentTextChar"/>
    <w:rsid w:val="00CE7E05"/>
    <w:rPr>
      <w:sz w:val="20"/>
    </w:rPr>
  </w:style>
  <w:style w:type="character" w:customStyle="1" w:styleId="CommentTextChar">
    <w:name w:val="Comment Text Char"/>
    <w:basedOn w:val="DefaultParagraphFont"/>
    <w:link w:val="CommentText"/>
    <w:rsid w:val="00CE7E05"/>
  </w:style>
  <w:style w:type="character" w:customStyle="1" w:styleId="NormalHanging12aChar">
    <w:name w:val="NormalHanging12a Char"/>
    <w:basedOn w:val="DefaultParagraphFont"/>
    <w:link w:val="NormalHanging12a"/>
    <w:rsid w:val="00CE7E05"/>
    <w:rPr>
      <w:sz w:val="24"/>
    </w:rPr>
  </w:style>
  <w:style w:type="paragraph" w:styleId="Revision">
    <w:name w:val="Revision"/>
    <w:hidden/>
    <w:uiPriority w:val="99"/>
    <w:semiHidden/>
    <w:rsid w:val="00543301"/>
    <w:rPr>
      <w:sz w:val="24"/>
    </w:rPr>
  </w:style>
  <w:style w:type="paragraph" w:styleId="CommentSubject">
    <w:name w:val="annotation subject"/>
    <w:basedOn w:val="CommentText"/>
    <w:next w:val="CommentText"/>
    <w:link w:val="CommentSubjectChar"/>
    <w:semiHidden/>
    <w:unhideWhenUsed/>
    <w:rsid w:val="00543301"/>
    <w:rPr>
      <w:b/>
      <w:bCs/>
    </w:rPr>
  </w:style>
  <w:style w:type="character" w:customStyle="1" w:styleId="CommentSubjectChar">
    <w:name w:val="Comment Subject Char"/>
    <w:basedOn w:val="CommentTextChar"/>
    <w:link w:val="CommentSubject"/>
    <w:semiHidden/>
    <w:rsid w:val="005433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5732</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2026-10-20T09:59:00Z</cp:lastPrinted>
  <dcterms:created xsi:type="dcterms:W3CDTF">2026-10-20T12:13:00Z</dcterms:created>
  <dcterms:modified xsi:type="dcterms:W3CDTF">2026-10-20T12:13:00Z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1353132</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14:13</vt:lpwstr>
  </property>
  <property fmtid="{D5CDD505-2E9C-101B-9397-08002B2CF9AE}" pid="9" name="Created with">
    <vt:lpwstr>10.3.1 Build [20260902]</vt:lpwstr>
  </property>
  <property fmtid="{D5CDD505-2E9C-101B-9397-08002B2CF9AE}" pid="10" name="FooterPath">
    <vt:lpwstr>RE\1353132EN.docx</vt:lpwstr>
  </property>
  <property fmtid="{D5CDD505-2E9C-101B-9397-08002B2CF9AE}" pid="11" name="LastEdited with">
    <vt:lpwstr>10.3.1 Build [20260902]</vt:lpwstr>
  </property>
  <property fmtid="{D5CDD505-2E9C-101B-9397-08002B2CF9AE}" pid="12" name="PE number">
    <vt:lpwstr>788.367</vt:lpwstr>
  </property>
  <property fmtid="{D5CDD505-2E9C-101B-9397-08002B2CF9AE}" pid="13" name="RegistreCheck">
    <vt:lpwstr>OK</vt:lpwstr>
  </property>
</Properties>
</file>