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06BC0" w:rsidRPr="00F20527" w:rsidTr="00F26DE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06BC0" w:rsidRPr="00F20527" w:rsidRDefault="00FE2C58" w:rsidP="00F26DE8">
            <w:pPr>
              <w:pStyle w:val="EPName"/>
            </w:pPr>
            <w:bookmarkStart w:id="0" w:name="_GoBack"/>
            <w:bookmarkEnd w:id="0"/>
            <w:r w:rsidRPr="00F20527">
              <w:t>Evropský parlament</w:t>
            </w:r>
          </w:p>
          <w:p w:rsidR="00706BC0" w:rsidRPr="00F20527" w:rsidRDefault="00123F1F" w:rsidP="00123F1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527">
              <w:t>2014-2019</w:t>
            </w:r>
          </w:p>
        </w:tc>
        <w:tc>
          <w:tcPr>
            <w:tcW w:w="2268" w:type="dxa"/>
            <w:shd w:val="clear" w:color="auto" w:fill="auto"/>
          </w:tcPr>
          <w:p w:rsidR="00706BC0" w:rsidRPr="00F20527" w:rsidRDefault="00EA033B" w:rsidP="00F26DE8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pt;height:50.9pt">
                  <v:imagedata r:id="rId7" o:title="EP logo RGB_Mute"/>
                </v:shape>
              </w:pict>
            </w:r>
          </w:p>
        </w:tc>
      </w:tr>
    </w:tbl>
    <w:p w:rsidR="00E53167" w:rsidRPr="00F20527" w:rsidRDefault="00E53167" w:rsidP="00E53167">
      <w:pPr>
        <w:pStyle w:val="LineTop"/>
      </w:pPr>
    </w:p>
    <w:p w:rsidR="00E53167" w:rsidRPr="00F20527" w:rsidRDefault="00123F1F" w:rsidP="00E53167">
      <w:pPr>
        <w:pStyle w:val="ZSessionDoc"/>
      </w:pPr>
      <w:r w:rsidRPr="00F20527">
        <w:t>Dokument ze zasedání</w:t>
      </w:r>
    </w:p>
    <w:p w:rsidR="00094DDA" w:rsidRPr="00F20527" w:rsidRDefault="00094DDA" w:rsidP="00094DDA">
      <w:pPr>
        <w:pStyle w:val="LineBottom"/>
      </w:pPr>
    </w:p>
    <w:p w:rsidR="00094DDA" w:rsidRPr="00F20527" w:rsidRDefault="00094DDA" w:rsidP="00094DDA">
      <w:pPr>
        <w:pStyle w:val="RefProc"/>
      </w:pPr>
      <w:r w:rsidRPr="00F20527">
        <w:rPr>
          <w:rStyle w:val="HideTWBExt"/>
          <w:b w:val="0"/>
          <w:noProof w:val="0"/>
        </w:rPr>
        <w:t>&lt;NoDocSe&gt;</w:t>
      </w:r>
      <w:r w:rsidRPr="00F20527">
        <w:t>B8-0341/2017</w:t>
      </w:r>
      <w:r w:rsidRPr="00F20527">
        <w:rPr>
          <w:rStyle w:val="HideTWBExt"/>
          <w:b w:val="0"/>
          <w:noProof w:val="0"/>
        </w:rPr>
        <w:t>&lt;/NoDocSe&gt;</w:t>
      </w:r>
    </w:p>
    <w:p w:rsidR="00094DDA" w:rsidRPr="00F20527" w:rsidRDefault="00094DDA" w:rsidP="00094DDA">
      <w:pPr>
        <w:pStyle w:val="ZDate"/>
      </w:pPr>
      <w:r w:rsidRPr="00F20527">
        <w:rPr>
          <w:rStyle w:val="HideTWBExt"/>
          <w:noProof w:val="0"/>
        </w:rPr>
        <w:t>&lt;Date&gt;</w:t>
      </w:r>
      <w:r w:rsidRPr="00F20527">
        <w:rPr>
          <w:rStyle w:val="HideTWBInt"/>
        </w:rPr>
        <w:t>{15/05/2017}</w:t>
      </w:r>
      <w:r w:rsidRPr="00F20527">
        <w:t>15.5.2017</w:t>
      </w:r>
      <w:r w:rsidRPr="00F20527">
        <w:rPr>
          <w:rStyle w:val="HideTWBExt"/>
          <w:noProof w:val="0"/>
        </w:rPr>
        <w:t>&lt;/Date&gt;</w:t>
      </w:r>
    </w:p>
    <w:p w:rsidR="00814BC6" w:rsidRPr="00F20527" w:rsidRDefault="00814BC6">
      <w:pPr>
        <w:pStyle w:val="TypeDoc"/>
      </w:pPr>
      <w:r w:rsidRPr="00F20527">
        <w:rPr>
          <w:rStyle w:val="HideTWBExt"/>
          <w:b w:val="0"/>
          <w:noProof w:val="0"/>
        </w:rPr>
        <w:t>&lt;TitreType&gt;</w:t>
      </w:r>
      <w:r w:rsidRPr="00F20527">
        <w:t>NÁVRH USNESENÍ</w:t>
      </w:r>
      <w:r w:rsidRPr="00F20527">
        <w:rPr>
          <w:rStyle w:val="HideTWBExt"/>
          <w:b w:val="0"/>
          <w:noProof w:val="0"/>
        </w:rPr>
        <w:t>&lt;/TitreType&gt;</w:t>
      </w:r>
    </w:p>
    <w:p w:rsidR="00814BC6" w:rsidRPr="00F20527" w:rsidRDefault="00814BC6">
      <w:pPr>
        <w:pStyle w:val="Cover12"/>
      </w:pPr>
      <w:r w:rsidRPr="00F20527">
        <w:rPr>
          <w:rStyle w:val="HideTWBExt"/>
          <w:noProof w:val="0"/>
        </w:rPr>
        <w:t>&lt;TitreSuite&gt;</w:t>
      </w:r>
      <w:r w:rsidRPr="00F20527">
        <w:t>předložený na základě prohlášení místopředsedkyně Komise, vysoké představitelky Unie pro zahraniční věci a bezpečnostní politiku</w:t>
      </w:r>
      <w:r w:rsidRPr="00F20527">
        <w:rPr>
          <w:rStyle w:val="HideTWBExt"/>
          <w:noProof w:val="0"/>
        </w:rPr>
        <w:t>&lt;/TitreSuite&gt;</w:t>
      </w:r>
    </w:p>
    <w:p w:rsidR="00814BC6" w:rsidRPr="00F20527" w:rsidRDefault="00814BC6">
      <w:pPr>
        <w:pStyle w:val="Cover12"/>
      </w:pPr>
      <w:r w:rsidRPr="00F20527">
        <w:rPr>
          <w:rStyle w:val="HideTWBExt"/>
          <w:noProof w:val="0"/>
        </w:rPr>
        <w:t>&lt;TitreRecueil&gt;</w:t>
      </w:r>
      <w:r w:rsidRPr="00F20527">
        <w:t>v souladu s čl. 123 odst. 2 jednacího řádu</w:t>
      </w:r>
      <w:r w:rsidRPr="00F20527">
        <w:rPr>
          <w:rStyle w:val="HideTWBExt"/>
          <w:noProof w:val="0"/>
        </w:rPr>
        <w:t>&lt;/TitreRecueil&gt;</w:t>
      </w:r>
    </w:p>
    <w:p w:rsidR="00C23264" w:rsidRPr="00F20527" w:rsidRDefault="00C23264" w:rsidP="00C23264">
      <w:pPr>
        <w:pStyle w:val="CoverNormal"/>
      </w:pPr>
      <w:r w:rsidRPr="00F20527">
        <w:rPr>
          <w:rStyle w:val="HideTWBExt"/>
          <w:noProof w:val="0"/>
        </w:rPr>
        <w:t>&lt;Titre&gt;</w:t>
      </w:r>
      <w:r w:rsidRPr="00F20527">
        <w:t>o strategii EU pro Sýrii</w:t>
      </w:r>
      <w:r w:rsidRPr="00F20527">
        <w:rPr>
          <w:rStyle w:val="HideTWBExt"/>
          <w:noProof w:val="0"/>
        </w:rPr>
        <w:t>&lt;/Titre&gt;</w:t>
      </w:r>
    </w:p>
    <w:p w:rsidR="00C23264" w:rsidRPr="00F20527" w:rsidRDefault="00C23264" w:rsidP="00C23264">
      <w:pPr>
        <w:pStyle w:val="Cover24"/>
      </w:pPr>
      <w:r w:rsidRPr="00F20527">
        <w:rPr>
          <w:rStyle w:val="HideTWBExt"/>
          <w:noProof w:val="0"/>
        </w:rPr>
        <w:t>&lt;DocRef&gt;</w:t>
      </w:r>
      <w:r w:rsidRPr="00F20527">
        <w:t>(2017/2654(RSP))</w:t>
      </w:r>
      <w:r w:rsidRPr="00F20527">
        <w:rPr>
          <w:rStyle w:val="HideTWBExt"/>
          <w:noProof w:val="0"/>
        </w:rPr>
        <w:t>&lt;/DocRef&gt;</w:t>
      </w:r>
    </w:p>
    <w:p w:rsidR="002574AA" w:rsidRPr="00F20527" w:rsidRDefault="002574AA" w:rsidP="002574AA">
      <w:pPr>
        <w:pStyle w:val="CoverBold"/>
      </w:pPr>
      <w:r w:rsidRPr="00F20527">
        <w:rPr>
          <w:rStyle w:val="HideTWBExt"/>
          <w:b w:val="0"/>
          <w:noProof w:val="0"/>
        </w:rPr>
        <w:t>&lt;RepeatBlock-By&gt;&lt;Depute&gt;</w:t>
      </w:r>
      <w:r w:rsidRPr="00F20527">
        <w:t>Barbara Lochbihler, Bodil Valero, Ernest Urtasun, Florent Marcellesi, Jordi Solé, Tamás Meszerics, Claude Turmes</w:t>
      </w:r>
      <w:r w:rsidRPr="00F20527">
        <w:rPr>
          <w:rStyle w:val="HideTWBExt"/>
          <w:b w:val="0"/>
          <w:noProof w:val="0"/>
        </w:rPr>
        <w:t>&lt;/Depute&gt;</w:t>
      </w:r>
    </w:p>
    <w:p w:rsidR="002574AA" w:rsidRPr="00F20527" w:rsidRDefault="002574AA" w:rsidP="002574AA">
      <w:pPr>
        <w:pStyle w:val="CoverNormal"/>
      </w:pPr>
      <w:r w:rsidRPr="00F20527">
        <w:rPr>
          <w:rStyle w:val="HideTWBExt"/>
          <w:noProof w:val="0"/>
        </w:rPr>
        <w:t>&lt;Commission&gt;</w:t>
      </w:r>
      <w:r w:rsidRPr="00F20527">
        <w:rPr>
          <w:rStyle w:val="HideTWBInt"/>
        </w:rPr>
        <w:t>{VERT}</w:t>
      </w:r>
      <w:r w:rsidRPr="00F20527">
        <w:t>za skupinu Verts/ALE</w:t>
      </w:r>
      <w:r w:rsidRPr="00F20527">
        <w:rPr>
          <w:rStyle w:val="HideTWBExt"/>
          <w:noProof w:val="0"/>
        </w:rPr>
        <w:t>&lt;/Commission&gt;</w:t>
      </w:r>
    </w:p>
    <w:p w:rsidR="002574AA" w:rsidRPr="00F20527" w:rsidRDefault="002574AA" w:rsidP="002574AA">
      <w:pPr>
        <w:pStyle w:val="CoverNormal"/>
      </w:pPr>
      <w:r w:rsidRPr="00F20527">
        <w:rPr>
          <w:rStyle w:val="HideTWBExt"/>
          <w:noProof w:val="0"/>
        </w:rPr>
        <w:t>&lt;/RepeatBlock-By&gt;</w:t>
      </w:r>
    </w:p>
    <w:p w:rsidR="00814BC6" w:rsidRPr="00F20527" w:rsidRDefault="00814BC6">
      <w:pPr>
        <w:pStyle w:val="Normal12Bold"/>
      </w:pPr>
      <w:r w:rsidRPr="00F20527">
        <w:br w:type="page"/>
      </w:r>
      <w:r w:rsidRPr="00F20527">
        <w:lastRenderedPageBreak/>
        <w:t>B8-0341/2017</w:t>
      </w:r>
    </w:p>
    <w:p w:rsidR="00C23264" w:rsidRPr="00F20527" w:rsidRDefault="00123F1F" w:rsidP="00C23264">
      <w:pPr>
        <w:pStyle w:val="NormalBold"/>
      </w:pPr>
      <w:r w:rsidRPr="00F20527">
        <w:t>Usnesení Evropského parlamentu o strategii EU pro Sýrii</w:t>
      </w:r>
    </w:p>
    <w:p w:rsidR="00C23264" w:rsidRPr="00F20527" w:rsidRDefault="00FE2C58" w:rsidP="00C23264">
      <w:pPr>
        <w:pStyle w:val="Normal24Bold"/>
      </w:pPr>
      <w:r w:rsidRPr="00F20527">
        <w:t>(2017/2654(RSP))</w:t>
      </w:r>
    </w:p>
    <w:p w:rsidR="00814BC6" w:rsidRPr="00F20527" w:rsidRDefault="00FE2C58">
      <w:pPr>
        <w:pStyle w:val="Normal12"/>
      </w:pPr>
      <w:r w:rsidRPr="00F20527">
        <w:rPr>
          <w:i/>
        </w:rPr>
        <w:t>Evropský parlament</w:t>
      </w:r>
      <w:r w:rsidRPr="00F20527">
        <w:t>,</w:t>
      </w:r>
    </w:p>
    <w:p w:rsidR="00123F1F" w:rsidRPr="00F20527" w:rsidRDefault="00814BC6" w:rsidP="00123F1F">
      <w:pPr>
        <w:pStyle w:val="Normal12Hanging"/>
      </w:pPr>
      <w:r w:rsidRPr="00F20527">
        <w:t>–</w:t>
      </w:r>
      <w:r w:rsidRPr="00F20527">
        <w:tab/>
        <w:t>s ohledem na svá předchozí usnesení o Sýrii,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úmluvy OSN o lidských právech, jichž je Sýrie smluvní stranou,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 ohledem na Ženevské úmluvy z roku 1949 a na jejich dodatkové protokoly,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ženevské komuniké z roku 2012,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 ohledem na rezoluce Rady bezpečnosti OSN o Sýrii,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závěry Rady o Sýrii, včetně závěrů ze dne 3. dubna 2017, které přijaly strategii EU pro Sýrii, a včetně společného sdělení místopředsedkyně Komise, vysoké představitelky Unie pro zahraniční věci a bezpečnostní politiku a Komise ze dne 14. </w:t>
      </w:r>
      <w:r w:rsidR="00AB55B6">
        <w:t>března</w:t>
      </w:r>
      <w:r w:rsidRPr="00F20527">
        <w:t xml:space="preserve"> 2017 s názvem „Základní prvky strategie EU pro Sýrii“,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prohlášení místopředsedkyně Komise, vysoké představitelky Unie pro zahraniční věci a bezpečnostní politiku o Sýrii,</w:t>
      </w:r>
    </w:p>
    <w:p w:rsidR="00123F1F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prohlášení spolupředsedajících na bruselské konferenci s názvem „Podpora budoucnosti Sýrie a okolního regionu“ uspořádané ve dnech 4. a 5. dubna 2017,</w:t>
      </w:r>
    </w:p>
    <w:p w:rsidR="00780A7D" w:rsidRPr="00F20527" w:rsidRDefault="00123F1F" w:rsidP="00123F1F">
      <w:pPr>
        <w:pStyle w:val="Normal12Hanging"/>
      </w:pPr>
      <w:r w:rsidRPr="00F20527">
        <w:t>–</w:t>
      </w:r>
      <w:r w:rsidRPr="00F20527">
        <w:tab/>
        <w:t>s ohledem na zprávy nezávislé mezinárodní vyšetřovací komise pro Sýrii, která byla zřízena Radou OSN pro lidská práva, a na rezoluce Rady OSN pro lidská práva týkající se Syrské arabské republiky,</w:t>
      </w:r>
    </w:p>
    <w:p w:rsidR="00814BC6" w:rsidRPr="00F20527" w:rsidRDefault="00814BC6">
      <w:pPr>
        <w:pStyle w:val="Normal12Hanging"/>
      </w:pPr>
      <w:r w:rsidRPr="00F20527">
        <w:t>–</w:t>
      </w:r>
      <w:r w:rsidRPr="00F20527">
        <w:tab/>
        <w:t>s ohledem na čl. 123 odst. 2 jednacího řádu,</w:t>
      </w:r>
    </w:p>
    <w:p w:rsidR="00123F1F" w:rsidRPr="00F20527" w:rsidRDefault="00814BC6" w:rsidP="00123F1F">
      <w:pPr>
        <w:pStyle w:val="Normal12Hanging"/>
      </w:pPr>
      <w:r w:rsidRPr="00F20527">
        <w:t>A.</w:t>
      </w:r>
      <w:r w:rsidRPr="00F20527">
        <w:tab/>
        <w:t>vzhledem k tomu, že válka v Sýrii je nejhorší humanitární krizí, se kterou se svět setkal od druhé světové války, a že jejím ničivým důsledkům pro syrské obyvatele není ještě konec; vzhledem k tomu, že tento konflikt, který podporují a prohlubují vnější aktéři, má stále větší dopad na stabilitu v širším regionu;</w:t>
      </w:r>
    </w:p>
    <w:p w:rsidR="00123F1F" w:rsidRPr="00F20527" w:rsidRDefault="00123F1F" w:rsidP="00123F1F">
      <w:pPr>
        <w:pStyle w:val="Normal12Hanging"/>
      </w:pPr>
      <w:r w:rsidRPr="00F20527">
        <w:t>B.</w:t>
      </w:r>
      <w:r w:rsidRPr="00F20527">
        <w:tab/>
        <w:t xml:space="preserve">vzhledem k tomu, že od začátku konfliktu, který vypukl v roce 2011, zahynulo v Sýrii přes 400 000 osob, převážně civilistů; vzhledem k tomu, že 13,5 milionu osob, téměř tři čtvrtiny zbývajícího obyvatelstva, zoufale potřebuje humanitární pomoc, přičemž více než 6 milionů jsou vysídlené osoby a přes 5 milionů se nachází v obklíčených a těžko přístupných oblastech; vzhledem k tomu, že 5 milionů Syřanů je nuceno hledat útočiště v zahraničí; </w:t>
      </w:r>
    </w:p>
    <w:p w:rsidR="00123F1F" w:rsidRPr="00F20527" w:rsidRDefault="00123F1F" w:rsidP="00123F1F">
      <w:pPr>
        <w:pStyle w:val="Normal12Hanging"/>
      </w:pPr>
      <w:r w:rsidRPr="00F20527">
        <w:t>C.</w:t>
      </w:r>
      <w:r w:rsidRPr="00F20527">
        <w:tab/>
        <w:t xml:space="preserve">vzhledem k tomu, že podle mezinárodního práva jsou válčící strany povinny přijmout náležitá opatření na ochranu civilistů a civilní infrastruktury; vzhledem k tomu, že všechny strany konfliktu, především syrský režim a jeho spojenci, se dopouštějí </w:t>
      </w:r>
      <w:r w:rsidRPr="00F20527">
        <w:lastRenderedPageBreak/>
        <w:t>masivního porušování lidských práv a mezinárodního humanitárního práva; vzhledem k tomu, že vyšetřovací komise OSN, generální tajemník OSN a vysoký komisař OSN pro lidská práva prohlásili, že v Sýrii jsou páchány zločiny proti lidskosti a válečné zločiny;</w:t>
      </w:r>
    </w:p>
    <w:p w:rsidR="00123F1F" w:rsidRPr="00F20527" w:rsidRDefault="00123F1F" w:rsidP="00123F1F">
      <w:pPr>
        <w:pStyle w:val="Normal12Hanging"/>
      </w:pPr>
      <w:r w:rsidRPr="00F20527">
        <w:t>D.</w:t>
      </w:r>
      <w:r w:rsidRPr="00F20527">
        <w:tab/>
        <w:t xml:space="preserve">vzhledem k tomu, že násilnosti páchané během syrského konfliktu zahrnují mimosoudní zabíjení, mučení a špatné zacházení, násilná zmizení, hromadné a svévolné zatýkání, cílené i nahodilé útoky na civilisty, kolektivní tresty, útoky na zdravotnické pracovníky a odpírání potravin a vody; vzhledem k tomu, že Asadův režim nese údajně odpovědnost za popravy oběšením, mučení a mimosoudní zabíjení v masivním rozsahu v zajišťovacích zařízeních; vzhledem k tomu, že tyto zločiny zůstávají nepotrestány; vzhledem k tomu, že Asadův režim a ozbrojené opoziční skupiny používají jako metodu vedení války vyhladovění civilistů obléháním obydlených oblastí, čímž jasně porušují mezinárodní humanitární právo; </w:t>
      </w:r>
    </w:p>
    <w:p w:rsidR="00123F1F" w:rsidRPr="00F20527" w:rsidRDefault="00123F1F" w:rsidP="00123F1F">
      <w:pPr>
        <w:pStyle w:val="Normal12Hanging"/>
      </w:pPr>
      <w:r w:rsidRPr="00F20527">
        <w:t>E.</w:t>
      </w:r>
      <w:r w:rsidRPr="00F20527">
        <w:tab/>
        <w:t xml:space="preserve">vzhledem k tomu, že za neustálého vměšování ze strany řady regionálních aktérů, včetně Turecka, které nedávno uskutečnilo další sérii leteckých útoků namířených proti kurdským bojovníkům, přetrvává vysoké riziko eskalace na regionální úrovni; </w:t>
      </w:r>
    </w:p>
    <w:p w:rsidR="00123F1F" w:rsidRPr="00F20527" w:rsidRDefault="00123F1F" w:rsidP="00123F1F">
      <w:pPr>
        <w:pStyle w:val="Normal12Hanging"/>
      </w:pPr>
      <w:r w:rsidRPr="00F20527">
        <w:t>F.</w:t>
      </w:r>
      <w:r w:rsidRPr="00F20527">
        <w:tab/>
        <w:t>vzhledem k tomu, že Asadovy jednotky údajně použily chemické látky, aby ublížili civilistům a zabili je; vzhledem k poslednímu útoku za použití zbraní masového ničení proti civilistům, ke kterému došlo dne 4. dubna 2017 ve městě Chán Šajchún v provincii Idlib, kde bylo zabito nejméně 70 civilistů, z nichž mnoho dětí, a stovky jich byly zraněny; vzhledem k tomu, že Rusko dne 12. dubna 2017 vetovalo rezoluci Rady bezpečnosti OSN, která by údajné použití zakázaných chemických zbraní v Sýrii odsoudila a syrskou vládu by vyzvala ke spolupráci při vyšetřování tohoto incidentu;</w:t>
      </w:r>
    </w:p>
    <w:p w:rsidR="00123F1F" w:rsidRPr="00F20527" w:rsidRDefault="00123F1F" w:rsidP="00123F1F">
      <w:pPr>
        <w:pStyle w:val="Normal12Hanging"/>
      </w:pPr>
      <w:r w:rsidRPr="00F20527">
        <w:t>G.</w:t>
      </w:r>
      <w:r w:rsidRPr="00F20527">
        <w:tab/>
        <w:t xml:space="preserve">vzhledem k tomu, že základními prvky budování míru a urovnávání konfliktů jsou spravedlnost, právní stát a boj proti beztrestnosti; </w:t>
      </w:r>
    </w:p>
    <w:p w:rsidR="00123F1F" w:rsidRPr="00F20527" w:rsidRDefault="00123F1F" w:rsidP="00123F1F">
      <w:pPr>
        <w:pStyle w:val="Normal12Hanging"/>
      </w:pPr>
      <w:r w:rsidRPr="00F20527">
        <w:t>H.</w:t>
      </w:r>
      <w:r w:rsidRPr="00F20527">
        <w:tab/>
        <w:t>vzhledem k tomu, že dne 4. května 2017 bylo v Astaně (Kazachstán) dosaženo dohody s Ruskem, Íránem a Tureckem ohledně čtyř zón deeskalace; vzhledem k tomu, že tyto tři signatářské země se mají zaručit za šestiměsíční obnovitelné příměří, a to i za pomoci ozbrojených pozorovatelů na místě; vzhledem k tomu, že v této dohodě se vyzývá k ukončení všech přeletů Asadova režimu nad těmito zónami a k neomezenému přístupu poskytovatelů humanitární pomoci do oblastí ovládaných povstalci; vzhledem k novému kolu rozhovorů pod záštitou OSN, které začíná tento týden v Ženevě, a k dalšímu kolu rozhovorů pod záštitou Ruska, které se plánuje na polovinu července v Kazachstánu;</w:t>
      </w:r>
    </w:p>
    <w:p w:rsidR="00123F1F" w:rsidRPr="00F20527" w:rsidRDefault="00123F1F" w:rsidP="00123F1F">
      <w:pPr>
        <w:pStyle w:val="Normal12Hanging"/>
      </w:pPr>
      <w:r w:rsidRPr="00F20527">
        <w:t>I.</w:t>
      </w:r>
      <w:r w:rsidRPr="00F20527">
        <w:tab/>
        <w:t xml:space="preserve">vzhledem k tomu, že Rada dne 3. dubna 2017 přijala strategii EU pro Sýrii, jež zahrnuje společné sdělení místopředsedkyně, vysoké představitelky a Komise s názvem „Základní prvky strategie EU pro Sýrii“ a rovněž související závěry Rady; vzhledem k tomu, že tato strategie nastiňuje šest klíčových oblastí zájmu, kterými jsou: ukončení války na základě skutečné politické transformace; podpora smysluplného a inkluzivního přechodu; řešení humanitárních potřeb nejzranitelnějších Syřanů; podpora demokracie a lidských práv; vymáhání odpovědnosti za válečné zločiny; podpora odolnosti syrského obyvatelstva a společnosti; </w:t>
      </w:r>
    </w:p>
    <w:p w:rsidR="00123F1F" w:rsidRPr="00F20527" w:rsidRDefault="00123F1F" w:rsidP="00123F1F">
      <w:pPr>
        <w:pStyle w:val="Normal12Hanging"/>
      </w:pPr>
      <w:r w:rsidRPr="00F20527">
        <w:t>J.</w:t>
      </w:r>
      <w:r w:rsidRPr="00F20527">
        <w:tab/>
        <w:t xml:space="preserve">vzhledem k tomu, že EU dne 5. dubna 2017 spolupředsedala konferenci s názvem </w:t>
      </w:r>
      <w:r w:rsidRPr="00F20527">
        <w:lastRenderedPageBreak/>
        <w:t xml:space="preserve">„Podpora budoucnosti Sýrie a okolního regionu“, na které se setkali zástupci více než 70 zemí a také mezinárodních organizací a mezinárodní i syrské občanské společnosti; vzhledem k tomu, že na této konferenci byl dohodnut komplexní přístup k syrské krizi; </w:t>
      </w:r>
    </w:p>
    <w:p w:rsidR="00123F1F" w:rsidRPr="00F20527" w:rsidRDefault="00123F1F" w:rsidP="00123F1F">
      <w:pPr>
        <w:pStyle w:val="Normal12Hanging"/>
      </w:pPr>
      <w:r w:rsidRPr="00F20527">
        <w:t>K.</w:t>
      </w:r>
      <w:r w:rsidRPr="00F20527">
        <w:tab/>
        <w:t xml:space="preserve">vzhledem k tomu, že EU je největším poskytovatelem humanitární pomoci v Sýrii i v sousedních zemích, přičemž od počátku krize na ni vyčlenila již více než 9 miliard EUR; </w:t>
      </w:r>
    </w:p>
    <w:p w:rsidR="00123F1F" w:rsidRPr="00F20527" w:rsidRDefault="00123F1F" w:rsidP="00123F1F">
      <w:pPr>
        <w:pStyle w:val="Normal12Hanging"/>
      </w:pPr>
      <w:r w:rsidRPr="00F20527">
        <w:t>1.</w:t>
      </w:r>
      <w:r w:rsidRPr="00F20527">
        <w:tab/>
        <w:t xml:space="preserve">vyjadřuje politování nad skutečností, že ani po šesti letech hrůzného násilí a lidského utrpení se v syrském konfliktu nepokročilo v nalezení politického řešení; připomíná, že žádné vojenské řešení konfliktu není udržitelné, a vyzývá všechny strany k neprodlenému ukončení ozbrojených střetů a obléhání, k zajištění plného a neomezeného přístupu poskytovatelům humanitární pomoci do celé země a k zaručení bezpečnosti humanitárních pracovníků; </w:t>
      </w:r>
    </w:p>
    <w:p w:rsidR="00123F1F" w:rsidRPr="00F20527" w:rsidRDefault="00123F1F" w:rsidP="00123F1F">
      <w:pPr>
        <w:pStyle w:val="Normal12Hanging"/>
      </w:pPr>
      <w:r w:rsidRPr="00F20527">
        <w:t>2.</w:t>
      </w:r>
      <w:r w:rsidRPr="00F20527">
        <w:tab/>
        <w:t xml:space="preserve">s úlevou konstatuje znatelné upuštění od bojů v rozlehlých částech země, a to od ukončení ozbrojených střetů, jež vyjednalo Rusko a Turecko v prosinci 2016; s opatrným optimismem vítá nedávnou dohodu v Astaně týkající se zřízení zón deeskalace; vyzývá tři ručitele dohody z Astany, aby zajistili dodržování příměří; požaduje mandát OSN založený na kapitole VII, který by umožnil vyslání velmi rozsáhlé mise modrých přileb OSN, jejichž cílem by bylo monitorovat situaci v takzvaných zónách deeskalace a jejich okolí; </w:t>
      </w:r>
    </w:p>
    <w:p w:rsidR="00123F1F" w:rsidRPr="00F20527" w:rsidRDefault="00123F1F" w:rsidP="00123F1F">
      <w:pPr>
        <w:pStyle w:val="Normal12Hanging"/>
      </w:pPr>
      <w:r w:rsidRPr="00F20527">
        <w:t>3.</w:t>
      </w:r>
      <w:r w:rsidRPr="00F20527">
        <w:tab/>
        <w:t xml:space="preserve">vyjadřuje naději, že diplomatické iniciativy pod záštitou Ruska by mohly přispět k posílení mezinárodních snah o nalezení politického řešení; v tomto kontextu opětovně zdůrazňuje primát ženevského procesu vedeného OSN a vyjadřuje svou podporu úsilí, jež vyvíjí zvláštní vyslanec OSN Staffan de Mistura v zájmu skutečného politického přechodu v souladu s rezolucí Rady bezpečnosti OSN č. 2254, který vyjednaly strany konfliktu za podpory hlavních mezinárodních a regionálních aktérů; trvá na tom, že do rozhovorů o budoucnosti Sýrie a její správní struktuře je důležité začlenit všechny etnické a náboženské menšiny; </w:t>
      </w:r>
    </w:p>
    <w:p w:rsidR="00123F1F" w:rsidRPr="00F20527" w:rsidRDefault="00123F1F" w:rsidP="00123F1F">
      <w:pPr>
        <w:pStyle w:val="Normal12Hanging"/>
      </w:pPr>
      <w:r w:rsidRPr="00F20527">
        <w:t>4.</w:t>
      </w:r>
      <w:r w:rsidRPr="00F20527">
        <w:tab/>
        <w:t>znovu a ostře odsuzuje zvěrstva a masivní porušování lidských práv a mezinárodního humanitárního práva, jichž se dopouštějí jednotky Asadova režimu za podpory jeho spojenců i nestátní ozbrojené skupiny, zejména ISIS/Dá‘iš a Džabhat Fatah aš-Šám;</w:t>
      </w:r>
    </w:p>
    <w:p w:rsidR="00123F1F" w:rsidRPr="00F20527" w:rsidRDefault="00123F1F" w:rsidP="00123F1F">
      <w:pPr>
        <w:pStyle w:val="Normal12Hanging"/>
      </w:pPr>
      <w:r w:rsidRPr="00F20527">
        <w:t>5.</w:t>
      </w:r>
      <w:r w:rsidRPr="00F20527">
        <w:tab/>
        <w:t xml:space="preserve">odsuzuje hrůzný chemický útok ve městě Chán Šajchún v jižní provincii Idlib, k němuž došlo dne 4. dubna 2017 a který je z chemických útoků provedených během syrského konfliktu zatím poslední; oceňuje vyšetřování, které vede Organizace pro zákaz chemických zbraní (OPCW), a trvá na tom, aby byli pachatelé pohnáni k odpovědnosti; </w:t>
      </w:r>
    </w:p>
    <w:p w:rsidR="00123F1F" w:rsidRPr="00F20527" w:rsidRDefault="00123F1F" w:rsidP="00123F1F">
      <w:pPr>
        <w:pStyle w:val="Normal12Hanging"/>
      </w:pPr>
      <w:r w:rsidRPr="00F20527">
        <w:t>6.</w:t>
      </w:r>
      <w:r w:rsidRPr="00F20527">
        <w:tab/>
        <w:t xml:space="preserve">vítá přijetí strategie EU pro Sýrii, která představuje pevný a komplexní základ pro posílenou činnost EU jak během konfliktu, tak po něm; </w:t>
      </w:r>
    </w:p>
    <w:p w:rsidR="00123F1F" w:rsidRPr="00F20527" w:rsidRDefault="00123F1F" w:rsidP="00123F1F">
      <w:pPr>
        <w:pStyle w:val="Normal12Hanging"/>
      </w:pPr>
      <w:r w:rsidRPr="00F20527">
        <w:t>7.</w:t>
      </w:r>
      <w:r w:rsidRPr="00F20527">
        <w:tab/>
        <w:t xml:space="preserve">zdůrazňuje nicméně, že strategie EU pro Sýrii by neměla EU bránit v zaujímání pragmatického a flexibilního přístupu, v krátkodobém až střednědobém horizontu, díky kterému si dokáže zachovat svou diplomatickou úlohu a svůj vliv, aby mohla napomáhat při formování konečného výsledku politických rozhovorů; </w:t>
      </w:r>
    </w:p>
    <w:p w:rsidR="00123F1F" w:rsidRPr="00F20527" w:rsidRDefault="00123F1F" w:rsidP="00123F1F">
      <w:pPr>
        <w:pStyle w:val="Normal12Hanging"/>
      </w:pPr>
      <w:r w:rsidRPr="00F20527">
        <w:t>8.</w:t>
      </w:r>
      <w:r w:rsidRPr="00F20527">
        <w:tab/>
        <w:t xml:space="preserve">vyjadřuje svou plnou podporu místopředsedkyni, vysoké představitelce v její aktivní </w:t>
      </w:r>
      <w:r w:rsidRPr="00F20527">
        <w:lastRenderedPageBreak/>
        <w:t>pomoci regionálním a místním aktérům v konfliktu a také snahám o nalezení společného základu pro dosažení míru nutného pro zahájení rozprav o budoucnosti Sýrie;</w:t>
      </w:r>
    </w:p>
    <w:p w:rsidR="00123F1F" w:rsidRPr="00F20527" w:rsidRDefault="00123F1F" w:rsidP="00123F1F">
      <w:pPr>
        <w:pStyle w:val="Normal12Hanging"/>
      </w:pPr>
      <w:r w:rsidRPr="00F20527">
        <w:t>9.</w:t>
      </w:r>
      <w:r w:rsidRPr="00F20527">
        <w:tab/>
        <w:t>vítá důraz, který se v rámci strategie EU pro Sýrii klade na podporu odolnosti syrského obyvatelstva a syrské společnosti; vyzývá místopředsedkyni, vysokou představitelku a členské státy, aby zintenzivnily úsilí o budování kapacit obyvatelstva a občanské společnosti v Sýrii, mimo jiné ve spolupráci s aktéry a prostřednictvím aktérů, kteří vystupují na obranu lidských práv, rovnosti (včetně rovnosti žen a mužů a práv menšin), demokracie a postavení občanů, na osvobozených územích v Sýrii, je-li to možné, a rovněž pokud jde o syrské uprchlíky žijící v exilu v tomto regionu nebo v Evropě; zdůrazňuje, že takové budování kapacit by mělo pomoci Syřanům vzít přechod do vlastních rukou (v oblastech, jako je regulace sdělovacích prostředků, decentralizace, správa obcí a vypracování ústavy) a náležitě při tom zohlednit potřeby a úlohu žen;</w:t>
      </w:r>
    </w:p>
    <w:p w:rsidR="00123F1F" w:rsidRPr="00F20527" w:rsidRDefault="00123F1F" w:rsidP="00123F1F">
      <w:pPr>
        <w:pStyle w:val="Normal12Hanging"/>
      </w:pPr>
      <w:r w:rsidRPr="00F20527">
        <w:t>10.</w:t>
      </w:r>
      <w:r w:rsidRPr="00F20527">
        <w:tab/>
        <w:t xml:space="preserve">oceňuje závěry bruselské konference s názvem „Podpora budoucnosti Sýrie a okolního regionu“ uspořádané ve dnech 4. a 5. dubna 2017; zdůrazňuje, že humanitární pomoc bude rozhodně zapotřebí i v následujících letech, a naléhavě vyzývá EU a členské státy, aby se dlouhodobě zavázaly k naplňování potřeb v oblasti humanitární pomoci a obnovy Sýrie; </w:t>
      </w:r>
    </w:p>
    <w:p w:rsidR="00123F1F" w:rsidRPr="00F20527" w:rsidRDefault="00123F1F" w:rsidP="00123F1F">
      <w:pPr>
        <w:pStyle w:val="Normal12Hanging"/>
      </w:pPr>
      <w:r w:rsidRPr="00F20527">
        <w:t>11.</w:t>
      </w:r>
      <w:r w:rsidRPr="00F20527">
        <w:tab/>
        <w:t xml:space="preserve">vítá odhodlání EU k dalšímu poskytování humanitární pomoci sousedním zemím Sýrie, které jsou útočištěm pro miliony uprchlíků; vyzývá nicméně členské státy, aby projevily větší odhodlání ve věci sdílení odpovědnosti, a umožnily tak uprchlíkům, kteří prchají z válečných oblastí v Sýrii, nalézt ochranu za hranicemi bezprostředně sousedících území prostřednictvím přesídlení, programů přijímání uprchlíků z humanitárních důvodů, zjednodušených postupů pro slučování rodin či flexibilnějších pravidel pro vydávání víz; </w:t>
      </w:r>
    </w:p>
    <w:p w:rsidR="00123F1F" w:rsidRPr="00F20527" w:rsidRDefault="00123F1F" w:rsidP="00123F1F">
      <w:pPr>
        <w:pStyle w:val="Normal12Hanging"/>
      </w:pPr>
      <w:r w:rsidRPr="00F20527">
        <w:t>12.</w:t>
      </w:r>
      <w:r w:rsidRPr="00F20527">
        <w:tab/>
        <w:t xml:space="preserve">oceňuje, že jednou z hlavních oblastí strategie EU pro Sýrii je vymáhání odpovědnosti za válečné zločiny; trvá nicméně na tom, že by se v této oblasti mělo podniknout víc, a to i přijetím společné politiky EU pro koordinovanou strategii ve věci odpovědnosti za válečné zločiny spáchané v Sýrii, přičemž vyzývá místopředsedkyni, vysokou představitelku, aby v této záležitosti hrála proaktivní úlohu; </w:t>
      </w:r>
    </w:p>
    <w:p w:rsidR="00123F1F" w:rsidRPr="00F20527" w:rsidRDefault="00123F1F" w:rsidP="00123F1F">
      <w:pPr>
        <w:pStyle w:val="Normal12Hanging"/>
      </w:pPr>
      <w:r w:rsidRPr="00F20527">
        <w:t>13.</w:t>
      </w:r>
      <w:r w:rsidRPr="00F20527">
        <w:tab/>
        <w:t xml:space="preserve">opakuje svou výzvu EU a členským státům, aby v úzké koordinaci s podobně smýšlejícími zeměmi posoudily možnost vytvoření tribunálu pro válečné zločiny v Sýrii, dokud nebude případ předán Mezinárodnímu trestnímu soudu; naléhavě vyzývá členské státy, aby učinily veškerá nezbytná opatření, která zajistí, aby byli údajní pachatelé pohnáni k odpovědnosti, především uplatněním zásady univerzální jurisdikce a vyšetřováním a stíháním státních příslušníků členských států EU, kteří nesou za hrůzné zločiny v Sýrii odpovědnost; </w:t>
      </w:r>
    </w:p>
    <w:p w:rsidR="00123F1F" w:rsidRPr="00F20527" w:rsidRDefault="00123F1F" w:rsidP="00123F1F">
      <w:pPr>
        <w:pStyle w:val="Normal12Hanging"/>
      </w:pPr>
      <w:r w:rsidRPr="00F20527">
        <w:t>14.</w:t>
      </w:r>
      <w:r w:rsidRPr="00F20527">
        <w:tab/>
        <w:t xml:space="preserve">vyzývá členské státy a jejich spojence, zejména Spojené státy americké, aby při své účasti na mezinárodním koaličním úsilí a v rámci své vojenské spolupráce se stranami konfliktu zajistili transparentnost, odpovědnost a důsledné dodržování mezinárodního humanitárního práva a lidskoprávních norem; </w:t>
      </w:r>
    </w:p>
    <w:p w:rsidR="00123F1F" w:rsidRPr="00F20527" w:rsidRDefault="00123F1F" w:rsidP="00123F1F">
      <w:pPr>
        <w:pStyle w:val="Normal12Hanging"/>
      </w:pPr>
      <w:r w:rsidRPr="00F20527">
        <w:t>15.</w:t>
      </w:r>
      <w:r w:rsidRPr="00F20527">
        <w:tab/>
        <w:t xml:space="preserve">pověřuje svého předsedu, aby předal toto usnesení Radě, Komisi, místopředsedkyni Komise, vysoké představitelce Unie pro zahraniční věci a bezpečnostní politiku, vládám </w:t>
      </w:r>
      <w:r w:rsidRPr="00F20527">
        <w:lastRenderedPageBreak/>
        <w:t>a parlamentům členských států, generálnímu tajemníkovi Organizace spojených národů, zvláštnímu vyslanci generálního tajemníka pro Sýrii, členům mezinárodní skupiny na podporu Sýrie a všem stranám zapojeným do konfliktu v Sýrii.</w:t>
      </w:r>
    </w:p>
    <w:p w:rsidR="00814BC6" w:rsidRPr="00F20527" w:rsidRDefault="00814BC6" w:rsidP="00123F1F">
      <w:pPr>
        <w:pStyle w:val="Normal12Hanging"/>
      </w:pPr>
    </w:p>
    <w:sectPr w:rsidR="00814BC6" w:rsidRPr="00F20527" w:rsidSect="00F205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C58" w:rsidRPr="00F20527" w:rsidRDefault="00FE2C58">
      <w:r w:rsidRPr="00F20527">
        <w:separator/>
      </w:r>
    </w:p>
  </w:endnote>
  <w:endnote w:type="continuationSeparator" w:id="0">
    <w:p w:rsidR="00FE2C58" w:rsidRPr="00F20527" w:rsidRDefault="00FE2C58">
      <w:r w:rsidRPr="00F205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527" w:rsidRPr="00F20527" w:rsidRDefault="00F20527" w:rsidP="00F20527">
    <w:pPr>
      <w:pStyle w:val="Footer"/>
    </w:pPr>
    <w:r w:rsidRPr="00F20527">
      <w:t>PE</w:t>
    </w:r>
    <w:r w:rsidRPr="00F20527">
      <w:rPr>
        <w:rStyle w:val="HideTWBExt"/>
        <w:noProof w:val="0"/>
      </w:rPr>
      <w:t>&lt;NoPE&gt;</w:t>
    </w:r>
    <w:r w:rsidRPr="00F20527">
      <w:t>603.766</w:t>
    </w:r>
    <w:r w:rsidRPr="00F20527">
      <w:rPr>
        <w:rStyle w:val="HideTWBExt"/>
        <w:noProof w:val="0"/>
      </w:rPr>
      <w:t>&lt;/NoPE&gt;&lt;Version&gt;</w:t>
    </w:r>
    <w:r w:rsidRPr="00F20527">
      <w:t>v01-00</w:t>
    </w:r>
    <w:r w:rsidRPr="00F20527">
      <w:rPr>
        <w:rStyle w:val="HideTWBExt"/>
        <w:noProof w:val="0"/>
      </w:rPr>
      <w:t>&lt;/Version&gt;</w:t>
    </w:r>
    <w:r w:rsidRPr="00F20527">
      <w:tab/>
    </w:r>
    <w:r w:rsidRPr="00F20527">
      <w:fldChar w:fldCharType="begin"/>
    </w:r>
    <w:r w:rsidRPr="00F20527">
      <w:instrText xml:space="preserve"> PAGE  \* MERGEFORMAT </w:instrText>
    </w:r>
    <w:r w:rsidRPr="00F20527">
      <w:fldChar w:fldCharType="separate"/>
    </w:r>
    <w:r w:rsidR="00EA033B">
      <w:rPr>
        <w:noProof/>
      </w:rPr>
      <w:t>2</w:t>
    </w:r>
    <w:r w:rsidRPr="00F20527">
      <w:fldChar w:fldCharType="end"/>
    </w:r>
    <w:r w:rsidRPr="00F20527">
      <w:t>/</w:t>
    </w:r>
    <w:r w:rsidR="00EA033B">
      <w:fldChar w:fldCharType="begin"/>
    </w:r>
    <w:r w:rsidR="00EA033B">
      <w:instrText xml:space="preserve"> NUMPAGES  \* MERGEFORMAT </w:instrText>
    </w:r>
    <w:r w:rsidR="00EA033B">
      <w:fldChar w:fldCharType="separate"/>
    </w:r>
    <w:r w:rsidR="00EA033B">
      <w:rPr>
        <w:noProof/>
      </w:rPr>
      <w:t>6</w:t>
    </w:r>
    <w:r w:rsidR="00EA033B">
      <w:rPr>
        <w:noProof/>
      </w:rPr>
      <w:fldChar w:fldCharType="end"/>
    </w:r>
    <w:r w:rsidRPr="00F20527">
      <w:tab/>
    </w:r>
    <w:r w:rsidRPr="00F20527">
      <w:rPr>
        <w:rStyle w:val="HideTWBExt"/>
        <w:noProof w:val="0"/>
      </w:rPr>
      <w:t>&lt;PathFdR&gt;</w:t>
    </w:r>
    <w:r w:rsidRPr="00F20527">
      <w:t>RE\1126037CS.docx</w:t>
    </w:r>
    <w:r w:rsidRPr="00F20527">
      <w:rPr>
        <w:rStyle w:val="HideTWBExt"/>
        <w:noProof w:val="0"/>
      </w:rPr>
      <w:t>&lt;/PathFdR&gt;</w:t>
    </w:r>
  </w:p>
  <w:p w:rsidR="00A90219" w:rsidRPr="00F20527" w:rsidRDefault="00F20527" w:rsidP="00F20527">
    <w:pPr>
      <w:pStyle w:val="Footer2"/>
    </w:pPr>
    <w:r w:rsidRPr="00F20527">
      <w:t>CS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527" w:rsidRPr="00F20527" w:rsidRDefault="00F20527" w:rsidP="00F20527">
    <w:pPr>
      <w:pStyle w:val="Footer"/>
    </w:pPr>
    <w:r w:rsidRPr="00F20527">
      <w:rPr>
        <w:rStyle w:val="HideTWBExt"/>
        <w:noProof w:val="0"/>
      </w:rPr>
      <w:t>&lt;PathFdR&gt;</w:t>
    </w:r>
    <w:r w:rsidRPr="00F20527">
      <w:t>RE\1126037CS.docx</w:t>
    </w:r>
    <w:r w:rsidRPr="00F20527">
      <w:rPr>
        <w:rStyle w:val="HideTWBExt"/>
        <w:noProof w:val="0"/>
      </w:rPr>
      <w:t>&lt;/PathFdR&gt;</w:t>
    </w:r>
    <w:r w:rsidRPr="00F20527">
      <w:tab/>
    </w:r>
    <w:r w:rsidRPr="00F20527">
      <w:fldChar w:fldCharType="begin"/>
    </w:r>
    <w:r w:rsidRPr="00F20527">
      <w:instrText xml:space="preserve"> PAGE  \* MERGEFORMAT </w:instrText>
    </w:r>
    <w:r w:rsidRPr="00F20527">
      <w:fldChar w:fldCharType="separate"/>
    </w:r>
    <w:r w:rsidR="00EA033B">
      <w:rPr>
        <w:noProof/>
      </w:rPr>
      <w:t>3</w:t>
    </w:r>
    <w:r w:rsidRPr="00F20527">
      <w:fldChar w:fldCharType="end"/>
    </w:r>
    <w:r w:rsidRPr="00F20527">
      <w:t>/</w:t>
    </w:r>
    <w:r w:rsidR="00EA033B">
      <w:fldChar w:fldCharType="begin"/>
    </w:r>
    <w:r w:rsidR="00EA033B">
      <w:instrText xml:space="preserve"> NUMPAGES  \* MERGEFORMAT </w:instrText>
    </w:r>
    <w:r w:rsidR="00EA033B">
      <w:fldChar w:fldCharType="separate"/>
    </w:r>
    <w:r w:rsidR="00EA033B">
      <w:rPr>
        <w:noProof/>
      </w:rPr>
      <w:t>6</w:t>
    </w:r>
    <w:r w:rsidR="00EA033B">
      <w:rPr>
        <w:noProof/>
      </w:rPr>
      <w:fldChar w:fldCharType="end"/>
    </w:r>
    <w:r w:rsidRPr="00F20527">
      <w:tab/>
      <w:t>PE</w:t>
    </w:r>
    <w:r w:rsidRPr="00F20527">
      <w:rPr>
        <w:rStyle w:val="HideTWBExt"/>
        <w:noProof w:val="0"/>
      </w:rPr>
      <w:t>&lt;NoPE&gt;</w:t>
    </w:r>
    <w:r w:rsidRPr="00F20527">
      <w:t>603.766</w:t>
    </w:r>
    <w:r w:rsidRPr="00F20527">
      <w:rPr>
        <w:rStyle w:val="HideTWBExt"/>
        <w:noProof w:val="0"/>
      </w:rPr>
      <w:t>&lt;/NoPE&gt;&lt;Version&gt;</w:t>
    </w:r>
    <w:r w:rsidRPr="00F20527">
      <w:t>v01-00</w:t>
    </w:r>
    <w:r w:rsidRPr="00F20527">
      <w:rPr>
        <w:rStyle w:val="HideTWBExt"/>
        <w:noProof w:val="0"/>
      </w:rPr>
      <w:t>&lt;/Version&gt;</w:t>
    </w:r>
  </w:p>
  <w:p w:rsidR="00A90219" w:rsidRPr="00F20527" w:rsidRDefault="00F20527" w:rsidP="00F20527">
    <w:pPr>
      <w:pStyle w:val="Footer2"/>
    </w:pPr>
    <w:r w:rsidRPr="00F20527">
      <w:tab/>
      <w:t>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527" w:rsidRPr="00F20527" w:rsidRDefault="00F20527" w:rsidP="00F20527">
    <w:pPr>
      <w:pStyle w:val="Footer"/>
    </w:pPr>
    <w:r w:rsidRPr="00F20527">
      <w:rPr>
        <w:rStyle w:val="HideTWBExt"/>
        <w:noProof w:val="0"/>
      </w:rPr>
      <w:t>&lt;PathFdR&gt;</w:t>
    </w:r>
    <w:r w:rsidRPr="00F20527">
      <w:t>RE\1126037CS.docx</w:t>
    </w:r>
    <w:r w:rsidRPr="00F20527">
      <w:rPr>
        <w:rStyle w:val="HideTWBExt"/>
        <w:noProof w:val="0"/>
      </w:rPr>
      <w:t>&lt;/PathFdR&gt;</w:t>
    </w:r>
    <w:r w:rsidRPr="00F20527">
      <w:tab/>
    </w:r>
    <w:r w:rsidRPr="00F20527">
      <w:tab/>
      <w:t>PE</w:t>
    </w:r>
    <w:r w:rsidRPr="00F20527">
      <w:rPr>
        <w:rStyle w:val="HideTWBExt"/>
        <w:noProof w:val="0"/>
      </w:rPr>
      <w:t>&lt;NoPE&gt;</w:t>
    </w:r>
    <w:r w:rsidRPr="00F20527">
      <w:t>603.766</w:t>
    </w:r>
    <w:r w:rsidRPr="00F20527">
      <w:rPr>
        <w:rStyle w:val="HideTWBExt"/>
        <w:noProof w:val="0"/>
      </w:rPr>
      <w:t>&lt;/NoPE&gt;&lt;Version&gt;</w:t>
    </w:r>
    <w:r w:rsidRPr="00F20527">
      <w:t>v01-00</w:t>
    </w:r>
    <w:r w:rsidRPr="00F20527">
      <w:rPr>
        <w:rStyle w:val="HideTWBExt"/>
        <w:noProof w:val="0"/>
      </w:rPr>
      <w:t>&lt;/Version&gt;</w:t>
    </w:r>
  </w:p>
  <w:p w:rsidR="00A90219" w:rsidRPr="00F20527" w:rsidRDefault="00F20527" w:rsidP="00F20527">
    <w:pPr>
      <w:pStyle w:val="Footer2"/>
      <w:tabs>
        <w:tab w:val="center" w:pos="4535"/>
      </w:tabs>
    </w:pPr>
    <w:r w:rsidRPr="00F20527">
      <w:t>CS</w:t>
    </w:r>
    <w:r w:rsidRPr="00F20527">
      <w:tab/>
    </w:r>
    <w:r w:rsidRPr="00F20527">
      <w:rPr>
        <w:b w:val="0"/>
        <w:i/>
        <w:color w:val="C0C0C0"/>
        <w:sz w:val="22"/>
      </w:rPr>
      <w:t>Jednotná v rozmanitosti</w:t>
    </w:r>
    <w:r w:rsidRPr="00F20527">
      <w:tab/>
      <w:t>CS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C58" w:rsidRPr="00F20527" w:rsidRDefault="00FE2C58">
      <w:r w:rsidRPr="00F20527">
        <w:separator/>
      </w:r>
    </w:p>
  </w:footnote>
  <w:footnote w:type="continuationSeparator" w:id="0">
    <w:p w:rsidR="00FE2C58" w:rsidRPr="00F20527" w:rsidRDefault="00FE2C58">
      <w:r w:rsidRPr="00F20527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33B" w:rsidRDefault="00EA03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33B" w:rsidRDefault="00EA03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33B" w:rsidRDefault="00EA03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pyToNetwork" w:val="-1"/>
    <w:docVar w:name="DOCTYPEMNU" w:val=" 2"/>
    <w:docVar w:name="LastEditedSection" w:val=" 1"/>
    <w:docVar w:name="STATMNU" w:val=" 4"/>
    <w:docVar w:name="strDocTypeID" w:val="RE_Statements"/>
    <w:docVar w:name="strSubDir" w:val="1126"/>
    <w:docVar w:name="TXTLANGUE" w:val="CS"/>
    <w:docVar w:name="TXTLANGUEMIN" w:val="cs"/>
    <w:docVar w:name="TXTNRB" w:val="0341/2017"/>
    <w:docVar w:name="TXTNRPE" w:val="603.766"/>
    <w:docVar w:name="TXTNRRSP" w:val="2017/2654"/>
    <w:docVar w:name="TXTPEorAP" w:val="PE"/>
    <w:docVar w:name="TXTROUTE" w:val="RE\1126037CS.docx"/>
    <w:docVar w:name="TXTTITLE" w:val="on the EU strategy on Syria"/>
    <w:docVar w:name="TXTVERSION" w:val="01-00"/>
  </w:docVars>
  <w:rsids>
    <w:rsidRoot w:val="00FE2C58"/>
    <w:rsid w:val="00011793"/>
    <w:rsid w:val="00037F46"/>
    <w:rsid w:val="00094DDA"/>
    <w:rsid w:val="00123F1F"/>
    <w:rsid w:val="001B49A3"/>
    <w:rsid w:val="001C62C5"/>
    <w:rsid w:val="002574AA"/>
    <w:rsid w:val="002C7767"/>
    <w:rsid w:val="00303413"/>
    <w:rsid w:val="003772FA"/>
    <w:rsid w:val="0058312A"/>
    <w:rsid w:val="00706BC0"/>
    <w:rsid w:val="00723A0B"/>
    <w:rsid w:val="00780A7D"/>
    <w:rsid w:val="00814BC6"/>
    <w:rsid w:val="008A4052"/>
    <w:rsid w:val="00907285"/>
    <w:rsid w:val="00A83374"/>
    <w:rsid w:val="00A90219"/>
    <w:rsid w:val="00AB55B6"/>
    <w:rsid w:val="00AB66A9"/>
    <w:rsid w:val="00B34A46"/>
    <w:rsid w:val="00B35FE8"/>
    <w:rsid w:val="00C23264"/>
    <w:rsid w:val="00CC09D8"/>
    <w:rsid w:val="00D12F64"/>
    <w:rsid w:val="00D524CA"/>
    <w:rsid w:val="00D90D37"/>
    <w:rsid w:val="00E53167"/>
    <w:rsid w:val="00EA033B"/>
    <w:rsid w:val="00F20527"/>
    <w:rsid w:val="00F26DE8"/>
    <w:rsid w:val="00F4455A"/>
    <w:rsid w:val="00F959BA"/>
    <w:rsid w:val="00FE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94A8200-12EF-4D3F-B489-4584BE1A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2574AA"/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Hanging12">
    <w:name w:val="Hanging12"/>
    <w:basedOn w:val="Normal12"/>
    <w:pPr>
      <w:tabs>
        <w:tab w:val="left" w:pos="357"/>
      </w:tabs>
      <w:ind w:left="357" w:hanging="357"/>
    </w:pPr>
  </w:style>
  <w:style w:type="paragraph" w:customStyle="1" w:styleId="Normal12a12bBold">
    <w:name w:val="Normal12a12bBold"/>
    <w:basedOn w:val="Normal12a12b"/>
    <w:rPr>
      <w:b/>
    </w:rPr>
  </w:style>
  <w:style w:type="paragraph" w:customStyle="1" w:styleId="Normal12a12bJ">
    <w:name w:val="Normal12a12bJ"/>
    <w:basedOn w:val="Normal12a12b"/>
    <w:pPr>
      <w:jc w:val="both"/>
    </w:pPr>
  </w:style>
  <w:style w:type="paragraph" w:customStyle="1" w:styleId="Normal12a12bKeep">
    <w:name w:val="Normal12a12bKeep"/>
    <w:basedOn w:val="Normal12a12b"/>
    <w:pPr>
      <w:keepNext/>
    </w:pPr>
  </w:style>
  <w:style w:type="paragraph" w:customStyle="1" w:styleId="Normal12BoldKeep">
    <w:name w:val="Normal12BoldKeep"/>
    <w:basedOn w:val="Normal12"/>
    <w:pPr>
      <w:keepNext/>
    </w:pPr>
    <w:rPr>
      <w:b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12ItalicKeep">
    <w:name w:val="Normal12ItalicKeep"/>
    <w:basedOn w:val="Normal12"/>
    <w:pPr>
      <w:keepNext/>
    </w:pPr>
    <w:rPr>
      <w:i/>
    </w:rPr>
  </w:style>
  <w:style w:type="paragraph" w:customStyle="1" w:styleId="Normal12J">
    <w:name w:val="Normal12J"/>
    <w:basedOn w:val="Normal12"/>
    <w:pPr>
      <w:jc w:val="both"/>
    </w:pPr>
  </w:style>
  <w:style w:type="paragraph" w:customStyle="1" w:styleId="Normal12Keep">
    <w:name w:val="Normal12Keep"/>
    <w:basedOn w:val="Normal12"/>
    <w:pPr>
      <w:keepNext/>
    </w:pPr>
  </w:style>
  <w:style w:type="paragraph" w:customStyle="1" w:styleId="Normal12Tab">
    <w:name w:val="Normal12Tab"/>
    <w:basedOn w:val="Normal12"/>
    <w:rsid w:val="001B49A3"/>
    <w:pPr>
      <w:tabs>
        <w:tab w:val="left" w:pos="567"/>
      </w:tabs>
    </w:pPr>
  </w:style>
  <w:style w:type="paragraph" w:customStyle="1" w:styleId="Normal30Keep">
    <w:name w:val="Normal30Keep"/>
    <w:basedOn w:val="Normal"/>
    <w:pPr>
      <w:keepNext/>
      <w:spacing w:after="600"/>
    </w:p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NormalBoldKeep">
    <w:name w:val="NormalBoldKeep"/>
    <w:basedOn w:val="Normal"/>
    <w:pPr>
      <w:keepNext/>
    </w:pPr>
    <w:rPr>
      <w:b/>
    </w:rPr>
  </w:style>
  <w:style w:type="paragraph" w:customStyle="1" w:styleId="NormalCentre">
    <w:name w:val="NormalCentre"/>
    <w:basedOn w:val="Normal"/>
    <w:pPr>
      <w:jc w:val="center"/>
    </w:pPr>
  </w:style>
  <w:style w:type="paragraph" w:customStyle="1" w:styleId="NormalCentreKeep">
    <w:name w:val="NormalCentreKeep"/>
    <w:basedOn w:val="Normal"/>
    <w:pPr>
      <w:keepNext/>
      <w:jc w:val="center"/>
    </w:pPr>
  </w:style>
  <w:style w:type="paragraph" w:customStyle="1" w:styleId="NormalJ">
    <w:name w:val="NormalJ"/>
    <w:basedOn w:val="Normal"/>
    <w:pPr>
      <w:jc w:val="both"/>
    </w:pPr>
  </w:style>
  <w:style w:type="paragraph" w:customStyle="1" w:styleId="NormalKeep">
    <w:name w:val="NormalKeep"/>
    <w:basedOn w:val="Normal"/>
    <w:pPr>
      <w:keepNext/>
    </w:p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E53167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Normal24Bold">
    <w:name w:val="Normal24Bold"/>
    <w:basedOn w:val="Normal"/>
    <w:rsid w:val="00C23264"/>
    <w:pPr>
      <w:spacing w:after="480"/>
    </w:pPr>
    <w:rPr>
      <w:b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RefProc">
    <w:name w:val="RefProc"/>
    <w:basedOn w:val="Normal"/>
    <w:rsid w:val="00094DDA"/>
    <w:pPr>
      <w:spacing w:before="240" w:after="240"/>
      <w:jc w:val="right"/>
    </w:pPr>
    <w:rPr>
      <w:rFonts w:ascii="Arial" w:hAnsi="Arial"/>
      <w:b/>
    </w:rPr>
  </w:style>
  <w:style w:type="paragraph" w:customStyle="1" w:styleId="ZDate">
    <w:name w:val="ZDate"/>
    <w:basedOn w:val="Normal"/>
    <w:rsid w:val="00094DDA"/>
    <w:pPr>
      <w:spacing w:after="1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1850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RE_Statements</vt:lpstr>
    </vt:vector>
  </TitlesOfParts>
  <Company/>
  <LinksUpToDate>false</LinksUpToDate>
  <CharactersWithSpaces>12879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RE_Statements</dc:title>
  <dc:subject/>
  <dc:creator>OSLADILOVA Jana</dc:creator>
  <cp:keywords/>
  <dc:description/>
  <cp:lastModifiedBy>EINHORNOVA Marta</cp:lastModifiedBy>
  <cp:revision>2</cp:revision>
  <cp:lastPrinted>2004-11-19T14:55:00Z</cp:lastPrinted>
  <dcterms:created xsi:type="dcterms:W3CDTF">2017-05-17T19:03:00Z</dcterms:created>
  <dcterms:modified xsi:type="dcterms:W3CDTF">2017-05-17T19:03:00Z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9.0.0 Build [20170325]</vt:lpwstr>
  </property>
  <property fmtid="{D5CDD505-2E9C-101B-9397-08002B2CF9AE}" pid="3" name="LastEdited with">
    <vt:lpwstr>9.0.0 Build [20170325]</vt:lpwstr>
  </property>
  <property fmtid="{D5CDD505-2E9C-101B-9397-08002B2CF9AE}" pid="4" name="&lt;FdR&gt;">
    <vt:lpwstr>1126037</vt:lpwstr>
  </property>
  <property fmtid="{D5CDD505-2E9C-101B-9397-08002B2CF9AE}" pid="5" name="&lt;Type&gt;">
    <vt:lpwstr>RE</vt:lpwstr>
  </property>
  <property fmtid="{D5CDD505-2E9C-101B-9397-08002B2CF9AE}" pid="6" name="&lt;ModelCod&gt;">
    <vt:lpwstr>\\eiciLUXpr1\pdocep$\DocEP\DOCS\General\RE\RE_Statements.dot(17/02/2016 11:46:04)</vt:lpwstr>
  </property>
  <property fmtid="{D5CDD505-2E9C-101B-9397-08002B2CF9AE}" pid="7" name="&lt;ModelTra&gt;">
    <vt:lpwstr>\\eiciLUXpr1\pdocep$\DocEP\TRANSFIL\CS\RE_Statements.CS(02/06/2016 12:14:09)</vt:lpwstr>
  </property>
  <property fmtid="{D5CDD505-2E9C-101B-9397-08002B2CF9AE}" pid="8" name="&lt;Model&gt;">
    <vt:lpwstr>RE_Statements</vt:lpwstr>
  </property>
  <property fmtid="{D5CDD505-2E9C-101B-9397-08002B2CF9AE}" pid="9" name="FooterPath">
    <vt:lpwstr>RE\1126037CS.docx</vt:lpwstr>
  </property>
  <property fmtid="{D5CDD505-2E9C-101B-9397-08002B2CF9AE}" pid="10" name="PE Number">
    <vt:lpwstr>603.766</vt:lpwstr>
  </property>
  <property fmtid="{D5CDD505-2E9C-101B-9397-08002B2CF9AE}" pid="11" name="Bookout">
    <vt:lpwstr>OK - 2017/05/17 21:03</vt:lpwstr>
  </property>
  <property fmtid="{D5CDD505-2E9C-101B-9397-08002B2CF9AE}" pid="12" name="SDLStudio">
    <vt:lpwstr/>
  </property>
  <property fmtid="{D5CDD505-2E9C-101B-9397-08002B2CF9AE}" pid="13" name="&lt;Extension&gt;">
    <vt:lpwstr>CS</vt:lpwstr>
  </property>
  <property fmtid="{D5CDD505-2E9C-101B-9397-08002B2CF9AE}" pid="14" name="SubscribeElise">
    <vt:lpwstr/>
  </property>
</Properties>
</file>