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06BC0" w:rsidRPr="006D762B" w:rsidTr="00F26DE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06BC0" w:rsidRPr="006D762B" w:rsidRDefault="007F06B0" w:rsidP="00F26DE8">
            <w:pPr>
              <w:pStyle w:val="EPName"/>
            </w:pPr>
            <w:bookmarkStart w:id="0" w:name="_GoBack"/>
            <w:bookmarkEnd w:id="0"/>
            <w:r w:rsidRPr="006D762B">
              <w:t>Parlament Ewropew</w:t>
            </w:r>
          </w:p>
          <w:p w:rsidR="00706BC0" w:rsidRPr="006D762B" w:rsidRDefault="00183662" w:rsidP="0018366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762B">
              <w:t>2014-2019</w:t>
            </w:r>
          </w:p>
        </w:tc>
        <w:tc>
          <w:tcPr>
            <w:tcW w:w="2268" w:type="dxa"/>
            <w:shd w:val="clear" w:color="auto" w:fill="auto"/>
          </w:tcPr>
          <w:p w:rsidR="00706BC0" w:rsidRPr="006D762B" w:rsidRDefault="00E32007" w:rsidP="00F26DE8">
            <w:pPr>
              <w:pStyle w:val="EPLogo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1pt">
                  <v:imagedata r:id="rId7" o:title="EP logo RGB_Mute"/>
                </v:shape>
              </w:pict>
            </w:r>
          </w:p>
        </w:tc>
      </w:tr>
    </w:tbl>
    <w:p w:rsidR="00E53167" w:rsidRPr="006D762B" w:rsidRDefault="00E53167" w:rsidP="00E53167">
      <w:pPr>
        <w:pStyle w:val="LineTop"/>
      </w:pPr>
    </w:p>
    <w:p w:rsidR="00E53167" w:rsidRPr="006D762B" w:rsidRDefault="00183662" w:rsidP="00E53167">
      <w:pPr>
        <w:pStyle w:val="ZSessionDoc"/>
      </w:pPr>
      <w:r w:rsidRPr="006D762B">
        <w:t>Dokument ta' sessjoni</w:t>
      </w:r>
    </w:p>
    <w:p w:rsidR="00094DDA" w:rsidRPr="006D762B" w:rsidRDefault="00094DDA" w:rsidP="00094DDA">
      <w:pPr>
        <w:pStyle w:val="LineBottom"/>
      </w:pPr>
    </w:p>
    <w:p w:rsidR="00094DDA" w:rsidRPr="006D762B" w:rsidRDefault="00094DDA" w:rsidP="00094DDA">
      <w:pPr>
        <w:pStyle w:val="RefProc"/>
      </w:pPr>
      <w:r w:rsidRPr="006D762B">
        <w:rPr>
          <w:rStyle w:val="HideTWBExt"/>
          <w:b w:val="0"/>
          <w:noProof w:val="0"/>
        </w:rPr>
        <w:t>&lt;NoDocSe&gt;</w:t>
      </w:r>
      <w:r w:rsidRPr="006D762B">
        <w:t>B8-0341/2017</w:t>
      </w:r>
      <w:r w:rsidRPr="006D762B">
        <w:rPr>
          <w:rStyle w:val="HideTWBExt"/>
          <w:b w:val="0"/>
          <w:noProof w:val="0"/>
        </w:rPr>
        <w:t>&lt;/NoDocSe&gt;</w:t>
      </w:r>
    </w:p>
    <w:p w:rsidR="00094DDA" w:rsidRPr="006D762B" w:rsidRDefault="00094DDA" w:rsidP="00094DDA">
      <w:pPr>
        <w:pStyle w:val="ZDate"/>
      </w:pPr>
      <w:r w:rsidRPr="006D762B">
        <w:rPr>
          <w:rStyle w:val="HideTWBExt"/>
          <w:noProof w:val="0"/>
        </w:rPr>
        <w:t>&lt;Date&gt;</w:t>
      </w:r>
      <w:r w:rsidRPr="006D762B">
        <w:rPr>
          <w:rStyle w:val="HideTWBInt"/>
        </w:rPr>
        <w:t>{15/05/2017}</w:t>
      </w:r>
      <w:r w:rsidRPr="006D762B">
        <w:t>15.5.2017</w:t>
      </w:r>
      <w:r w:rsidRPr="006D762B">
        <w:rPr>
          <w:rStyle w:val="HideTWBExt"/>
          <w:noProof w:val="0"/>
        </w:rPr>
        <w:t>&lt;/Date&gt;</w:t>
      </w:r>
    </w:p>
    <w:p w:rsidR="00814BC6" w:rsidRPr="006D762B" w:rsidRDefault="00814BC6">
      <w:pPr>
        <w:pStyle w:val="TypeDoc"/>
      </w:pPr>
      <w:r w:rsidRPr="006D762B">
        <w:rPr>
          <w:rStyle w:val="HideTWBExt"/>
          <w:b w:val="0"/>
          <w:noProof w:val="0"/>
        </w:rPr>
        <w:t>&lt;TitreType&gt;</w:t>
      </w:r>
      <w:r w:rsidRPr="006D762B">
        <w:t>MOZZJONI GĦAL RIŻOLUZZJONI</w:t>
      </w:r>
      <w:r w:rsidRPr="006D762B">
        <w:rPr>
          <w:rStyle w:val="HideTWBExt"/>
          <w:b w:val="0"/>
          <w:noProof w:val="0"/>
        </w:rPr>
        <w:t>&lt;/TitreType&gt;</w:t>
      </w:r>
    </w:p>
    <w:p w:rsidR="00814BC6" w:rsidRPr="006D762B" w:rsidRDefault="00814BC6">
      <w:pPr>
        <w:pStyle w:val="Cover12"/>
      </w:pPr>
      <w:r w:rsidRPr="006D762B">
        <w:rPr>
          <w:rStyle w:val="HideTWBExt"/>
          <w:noProof w:val="0"/>
        </w:rPr>
        <w:t>&lt;TitreSuite&gt;</w:t>
      </w:r>
      <w:r w:rsidRPr="006D762B">
        <w:t>imressqa wara d-dikjarazzjoni tal-Viċi President tal-Kummissjoni/tar-Rappreżentant Għoli tal-Unjoni għall-Affarijiet Barranin u l-Politika ta' Sigurtà</w:t>
      </w:r>
      <w:r w:rsidRPr="006D762B">
        <w:rPr>
          <w:rStyle w:val="HideTWBExt"/>
          <w:noProof w:val="0"/>
        </w:rPr>
        <w:t>&lt;/TitreSuite&gt;</w:t>
      </w:r>
    </w:p>
    <w:p w:rsidR="00814BC6" w:rsidRPr="006D762B" w:rsidRDefault="00814BC6">
      <w:pPr>
        <w:pStyle w:val="Cover12"/>
      </w:pPr>
      <w:r w:rsidRPr="006D762B">
        <w:rPr>
          <w:rStyle w:val="HideTWBExt"/>
          <w:noProof w:val="0"/>
        </w:rPr>
        <w:t>&lt;TitreRecueil&gt;</w:t>
      </w:r>
      <w:r w:rsidRPr="006D762B">
        <w:t xml:space="preserve">skont l-Artikolu 123(2) tar-Regoli ta' Proċedura </w:t>
      </w:r>
      <w:r w:rsidRPr="006D762B">
        <w:rPr>
          <w:rStyle w:val="HideTWBExt"/>
          <w:noProof w:val="0"/>
        </w:rPr>
        <w:t>&lt;/TitreRecueil&gt;</w:t>
      </w:r>
    </w:p>
    <w:p w:rsidR="00C23264" w:rsidRPr="006D762B" w:rsidRDefault="00C23264" w:rsidP="00C23264">
      <w:pPr>
        <w:pStyle w:val="CoverNormal"/>
      </w:pPr>
      <w:r w:rsidRPr="006D762B">
        <w:rPr>
          <w:rStyle w:val="HideTWBExt"/>
          <w:noProof w:val="0"/>
        </w:rPr>
        <w:t>&lt;Titre&gt;</w:t>
      </w:r>
      <w:r w:rsidRPr="006D762B">
        <w:t>dwar l-istrateġija tal-UE rigward is-Sirja</w:t>
      </w:r>
      <w:r w:rsidRPr="006D762B">
        <w:rPr>
          <w:rStyle w:val="HideTWBExt"/>
          <w:noProof w:val="0"/>
        </w:rPr>
        <w:t>&lt;/Titre&gt;</w:t>
      </w:r>
    </w:p>
    <w:p w:rsidR="00C23264" w:rsidRPr="006D762B" w:rsidRDefault="00C23264" w:rsidP="00C23264">
      <w:pPr>
        <w:pStyle w:val="Cover24"/>
      </w:pPr>
      <w:r w:rsidRPr="006D762B">
        <w:rPr>
          <w:rStyle w:val="HideTWBExt"/>
          <w:noProof w:val="0"/>
        </w:rPr>
        <w:t>&lt;DocRef&gt;</w:t>
      </w:r>
      <w:r w:rsidRPr="006D762B">
        <w:t>(2017/2654(RSP))</w:t>
      </w:r>
      <w:r w:rsidRPr="006D762B">
        <w:rPr>
          <w:rStyle w:val="HideTWBExt"/>
          <w:noProof w:val="0"/>
        </w:rPr>
        <w:t>&lt;/DocRef&gt;</w:t>
      </w:r>
    </w:p>
    <w:p w:rsidR="002574AA" w:rsidRPr="006D762B" w:rsidRDefault="00183662" w:rsidP="002574AA">
      <w:pPr>
        <w:pStyle w:val="CoverBold"/>
      </w:pPr>
      <w:r w:rsidRPr="006D762B">
        <w:t>Barbara Lochbihler, Bodil Valero, Ernest Urtasun, Florent Marcellesi, Jordi Solé, Tamás Meszerics, Claude Turmes</w:t>
      </w:r>
    </w:p>
    <w:p w:rsidR="002574AA" w:rsidRPr="006D762B" w:rsidRDefault="002574AA" w:rsidP="002574AA">
      <w:pPr>
        <w:pStyle w:val="CoverNormal"/>
      </w:pPr>
      <w:r w:rsidRPr="006D762B">
        <w:rPr>
          <w:rStyle w:val="HideTWBExt"/>
          <w:noProof w:val="0"/>
        </w:rPr>
        <w:t>&lt;Commission&gt;</w:t>
      </w:r>
      <w:r w:rsidRPr="006D762B">
        <w:rPr>
          <w:rStyle w:val="HideTWBInt"/>
        </w:rPr>
        <w:t>{VERT}</w:t>
      </w:r>
      <w:r w:rsidRPr="006D762B">
        <w:t>f'isem il-Grupp Verts/ALE</w:t>
      </w:r>
      <w:r w:rsidRPr="006D762B">
        <w:rPr>
          <w:rStyle w:val="HideTWBExt"/>
          <w:noProof w:val="0"/>
        </w:rPr>
        <w:t>&lt;/Commission&gt;</w:t>
      </w:r>
    </w:p>
    <w:p w:rsidR="00814BC6" w:rsidRPr="006D762B" w:rsidRDefault="00814BC6">
      <w:pPr>
        <w:pStyle w:val="Normal12Bold"/>
      </w:pPr>
      <w:r w:rsidRPr="006D762B">
        <w:br w:type="page"/>
      </w:r>
      <w:r w:rsidRPr="006D762B">
        <w:lastRenderedPageBreak/>
        <w:t>B8-0341/2017</w:t>
      </w:r>
    </w:p>
    <w:p w:rsidR="00C23264" w:rsidRPr="006D762B" w:rsidRDefault="00183662" w:rsidP="00C23264">
      <w:pPr>
        <w:pStyle w:val="NormalBold"/>
      </w:pPr>
      <w:r w:rsidRPr="006D762B">
        <w:t>Riżoluzzjoni tal-Parlament Ewropew dwar l-istrateġija tal-UE rigward is-Sirja</w:t>
      </w:r>
    </w:p>
    <w:p w:rsidR="00C23264" w:rsidRPr="006D762B" w:rsidRDefault="007F06B0" w:rsidP="00C23264">
      <w:pPr>
        <w:pStyle w:val="Normal24Bold"/>
      </w:pPr>
      <w:r w:rsidRPr="006D762B">
        <w:t>(2017/2654(RSP))</w:t>
      </w:r>
    </w:p>
    <w:p w:rsidR="00814BC6" w:rsidRPr="006D762B" w:rsidRDefault="007F06B0">
      <w:pPr>
        <w:pStyle w:val="Normal12"/>
      </w:pPr>
      <w:r w:rsidRPr="006D762B">
        <w:rPr>
          <w:i/>
        </w:rPr>
        <w:t>Il-Parlament Ewropew</w:t>
      </w:r>
      <w:r w:rsidRPr="006D762B">
        <w:t>,</w:t>
      </w:r>
    </w:p>
    <w:p w:rsidR="00183662" w:rsidRPr="006D762B" w:rsidRDefault="00814BC6" w:rsidP="00183662">
      <w:pPr>
        <w:pStyle w:val="Normal12Hanging"/>
      </w:pPr>
      <w:r w:rsidRPr="006D762B">
        <w:t>–</w:t>
      </w:r>
      <w:r w:rsidRPr="006D762B">
        <w:tab/>
        <w:t>wara li kkunsidra r-riżoluzzjonijiet preċedenti tiegħu dwar is-Sirja,</w:t>
      </w:r>
    </w:p>
    <w:p w:rsidR="00183662" w:rsidRPr="006D762B" w:rsidRDefault="00183662" w:rsidP="00183662">
      <w:pPr>
        <w:pStyle w:val="Normal12Hanging"/>
      </w:pPr>
      <w:r w:rsidRPr="006D762B">
        <w:t>–</w:t>
      </w:r>
      <w:r w:rsidRPr="006D762B">
        <w:tab/>
        <w:t>wara li kkunsidra l-konvenzjonijiet tan-NU dwar id-drittijiet tal-bniedem li s-Sirja hija Stat Parti għalihom,</w:t>
      </w:r>
    </w:p>
    <w:p w:rsidR="00183662" w:rsidRPr="006D762B" w:rsidRDefault="00183662" w:rsidP="00183662">
      <w:pPr>
        <w:pStyle w:val="Normal12Hanging"/>
      </w:pPr>
      <w:r w:rsidRPr="006D762B">
        <w:t>–</w:t>
      </w:r>
      <w:r w:rsidRPr="006D762B">
        <w:tab/>
        <w:t>wara li kkunsidra l-Konvenzjonijiet ta' Ġinevra tal-1949 u l-Protokolli addizzjonali tagħhom,</w:t>
      </w:r>
    </w:p>
    <w:p w:rsidR="00183662" w:rsidRPr="006D762B" w:rsidRDefault="00183662" w:rsidP="00183662">
      <w:pPr>
        <w:pStyle w:val="Normal12Hanging"/>
      </w:pPr>
      <w:r w:rsidRPr="006D762B">
        <w:t>–</w:t>
      </w:r>
      <w:r w:rsidRPr="006D762B">
        <w:tab/>
        <w:t>wara li kkunsidra l-Komunikat ta' Ġinevra ta' Ġunju 2012,</w:t>
      </w:r>
    </w:p>
    <w:p w:rsidR="00183662" w:rsidRPr="006D762B" w:rsidRDefault="00183662" w:rsidP="00183662">
      <w:pPr>
        <w:pStyle w:val="Normal12Hanging"/>
      </w:pPr>
      <w:r w:rsidRPr="006D762B">
        <w:t>–</w:t>
      </w:r>
      <w:r w:rsidRPr="006D762B">
        <w:tab/>
        <w:t>wara li kkunsidra r-riżoluzzjonijiet tal-Kunsill tas-Sigurtà tan-NU dwar is-Sirja,</w:t>
      </w:r>
    </w:p>
    <w:p w:rsidR="00183662" w:rsidRPr="006D762B" w:rsidRDefault="00183662" w:rsidP="00183662">
      <w:pPr>
        <w:pStyle w:val="Normal12Hanging"/>
      </w:pPr>
      <w:r w:rsidRPr="006D762B">
        <w:t>–</w:t>
      </w:r>
      <w:r w:rsidRPr="006D762B">
        <w:tab/>
        <w:t>wara li kkunsidra l-konklużjonijiet tal-Kunsill dwar is-Sirja, inklużi dawk tat-3 ta' April 2017 li adottaw l-Istrateġija tal-UE rigward is-Sirja, inkluża l-Komunikazzjoni Konġunta tal-14 ta' April 2017 mill-Viċi President tal-Kummissjoni/Rappreżentant Għoli (VP/RGħ) tal-Unjoni għall-Affarijiet Barranin u l-Politika ta' Sigurtà u tal-Kummissjoni dwar "Elementi għal Strateġija tal-UE għas-Sirja",</w:t>
      </w:r>
    </w:p>
    <w:p w:rsidR="00183662" w:rsidRPr="006D762B" w:rsidRDefault="00183662" w:rsidP="00183662">
      <w:pPr>
        <w:pStyle w:val="Normal12Hanging"/>
      </w:pPr>
      <w:r w:rsidRPr="006D762B">
        <w:t>–</w:t>
      </w:r>
      <w:r w:rsidRPr="006D762B">
        <w:tab/>
        <w:t>wara li kkunsidra d-dikjarazzjonijiet tal-Viċi President tal-Kummissjoni/Rappreżentant Għoli tal-Unjoni għall-Affarijiet Barranin u l-Politika ta' Sigurtà dwar is-Sirja,</w:t>
      </w:r>
    </w:p>
    <w:p w:rsidR="00183662" w:rsidRPr="006D762B" w:rsidRDefault="00183662" w:rsidP="00183662">
      <w:pPr>
        <w:pStyle w:val="Normal12Hanging"/>
      </w:pPr>
      <w:r w:rsidRPr="006D762B">
        <w:t>–</w:t>
      </w:r>
      <w:r w:rsidRPr="006D762B">
        <w:tab/>
        <w:t>wara li kkunsidra d-dikjarazzjoni tal-Kopresidenti tal-Konferenza fi Brussell rigward "Appoġġ għall-Ġejjieni tas-Sirja u tar-Reġjun", li saret fl-4 u l-5 ta' April 2017,</w:t>
      </w:r>
    </w:p>
    <w:p w:rsidR="00183662" w:rsidRPr="006D762B" w:rsidRDefault="00183662" w:rsidP="00183662">
      <w:pPr>
        <w:pStyle w:val="Normal12Hanging"/>
      </w:pPr>
      <w:r w:rsidRPr="006D762B">
        <w:t>–</w:t>
      </w:r>
      <w:r w:rsidRPr="006D762B">
        <w:tab/>
        <w:t>wara li kkunsidra r-rapporti tal-Kummissjoni Internazzjonali Indipendenti ta' Inkjesta dwar is-Sirja, stabbilita mill-Kunsill tad-Drittijiet tal-Bniedem tan-Nazzjonijiet Uniti (UNHRC), u r-riżoluzzjonijiet tal-UNHRC dwar ir-Repubblika Għarbija Sirjana,</w:t>
      </w:r>
    </w:p>
    <w:p w:rsidR="00183662" w:rsidRPr="006D762B" w:rsidRDefault="00183662" w:rsidP="00183662">
      <w:pPr>
        <w:pStyle w:val="Normal12Hanging"/>
      </w:pPr>
      <w:r w:rsidRPr="006D762B">
        <w:t>–</w:t>
      </w:r>
      <w:r w:rsidRPr="006D762B">
        <w:tab/>
        <w:t>wara li kkunsidra l-Artikolu 123(2) tar-Regoli ta' Proċedura tiegħu,</w:t>
      </w:r>
    </w:p>
    <w:p w:rsidR="00183662" w:rsidRPr="006D762B" w:rsidRDefault="00183662" w:rsidP="00183662">
      <w:pPr>
        <w:pStyle w:val="Normal12Hanging"/>
      </w:pPr>
      <w:r w:rsidRPr="006D762B">
        <w:t>A.</w:t>
      </w:r>
      <w:r w:rsidRPr="006D762B">
        <w:tab/>
        <w:t>billi l-gwerra fis-Sirja saret waħda mill-agħar kriżijiet umanitarji li d-dinja kellha tħabbat wiċċha magħha mit-Tieni Gwerra Dinjija 'l hawn, u billi għadha tħalli konsegwenzi qerrieda għall-poplu tas-Sirja; billi dan il-kunflitt, appoġġjat u aggravat minn atturi esterni, qed ikollu impatt dejjem aktar destabilizzanti fuq ir-reġjun usa';</w:t>
      </w:r>
    </w:p>
    <w:p w:rsidR="00183662" w:rsidRPr="006D762B" w:rsidRDefault="00183662" w:rsidP="00183662">
      <w:pPr>
        <w:pStyle w:val="Normal12Hanging"/>
      </w:pPr>
      <w:r w:rsidRPr="006D762B">
        <w:t>B.</w:t>
      </w:r>
      <w:r w:rsidRPr="006D762B">
        <w:tab/>
        <w:t xml:space="preserve">billi aktar minn 400 000 ruħ, fil-parti l-kbira tagħhom persuni ċivili, tilfu ħajjithom sa mill-bidu tal-kunflitt fis-Sirja fl-2011; billi 13.5 miljun ruħ, jew kważi tliet kwarti tal-popolazzjoni li baqgħet fil-pajjiż, għandhom bżonn urġenti ta' għajnuna umanitarja, fosthom aktar minn 6 miljun persuna spostata u aktar minn 5 miljun persuna f'żoni assedjati u li diffiċli jintlaħqu; billi aktar minn 5 miljun Sirjan kellhom ifittxu rifuġju barra minn pajjiżhom; </w:t>
      </w:r>
    </w:p>
    <w:p w:rsidR="00183662" w:rsidRPr="006D762B" w:rsidRDefault="00183662" w:rsidP="00183662">
      <w:pPr>
        <w:pStyle w:val="Normal12Hanging"/>
      </w:pPr>
      <w:r w:rsidRPr="006D762B">
        <w:lastRenderedPageBreak/>
        <w:t>C.</w:t>
      </w:r>
      <w:r w:rsidRPr="006D762B">
        <w:tab/>
        <w:t>billi skont id-dritt internazzjonali, il-partijiet fil-kunflitt huma obbligati jieħdu miżuri xierqa biex jipproteġu lil persuni ċivili u l-infrastrutturi ċivili; billi ksur massiv u rikorrenti tad-drittijiet tal-bniedem u tad-dritt umanitarju internazzjonali twettaq min-naħat kollha u, b'mod partikolari, mir-reġim Sirjan u l-alleati tiegħu; billi l-Kummissjoni ta' Inkjesta tan-NU, is-Segretarju Ġenerali tan-NU u l-Kummissarju Għoli tan-NU għad-Drittijiet tal-Bniedem iddikjaraw li twettqu delitti kontra l-umanità kif ukoll delitti tal-gwerra fis-Sirja;</w:t>
      </w:r>
    </w:p>
    <w:p w:rsidR="00183662" w:rsidRPr="006D762B" w:rsidRDefault="00183662" w:rsidP="00183662">
      <w:pPr>
        <w:pStyle w:val="Normal12Hanging"/>
      </w:pPr>
      <w:r w:rsidRPr="006D762B">
        <w:t>D.</w:t>
      </w:r>
      <w:r w:rsidRPr="006D762B">
        <w:tab/>
        <w:t xml:space="preserve">billi l-ksur li twettaq matul il-kunflitt Sirjan jinkludi qtil extraġudizzjarju, tortura u trattament ħażin, għajbien sfurzat, arresti tal-massa u arbitrarji, attakki mmirati u mingħajr distinzjoni kontra persuni ċivili, kastigi kollettivi, attakki kontra persunal mediku u ċaħda ta' ikel u ilma; billi ġie rrappurtat li r-reġim ta' Assad huwa responsabbli għall-qtil b'tgħalliq, atti ta' tortura u qtil extraġudizzjarju fuq skala massiva fil-faċilitajiet ta' detenzjoni tiegħu; billi dawn id-delitti s'issa għadhom ma ġewx ikkastigati; billi l-użu tal-qtil bil-ġuħ ta' persuni ċivili permezz tal-assedju ta' żoni popolati bħala tattika tal-gwerra, imwettqa mir-reġim ta' Assad u gruppi ta' oppożizzjoni armati, jikkostitwixxi ksur ċar tad-dritt umanitarju internazzjonali; </w:t>
      </w:r>
    </w:p>
    <w:p w:rsidR="00183662" w:rsidRPr="006D762B" w:rsidRDefault="00183662" w:rsidP="00183662">
      <w:pPr>
        <w:pStyle w:val="Normal12Hanging"/>
      </w:pPr>
      <w:r w:rsidRPr="006D762B">
        <w:t>E.</w:t>
      </w:r>
      <w:r w:rsidRPr="006D762B">
        <w:tab/>
        <w:t xml:space="preserve">billi r-riskju ta' eskalazzjoni reġjonali għadu għoli minħabba interferenza kontinwa minn għadd ta' atturi reġjonali, fosthom it-Turkija li reċentement nediet sensiela ġdida ta' attakki mill-ajru kontra l-ġellieda Kurdi; </w:t>
      </w:r>
    </w:p>
    <w:p w:rsidR="00183662" w:rsidRPr="006D762B" w:rsidRDefault="00183662" w:rsidP="00183662">
      <w:pPr>
        <w:pStyle w:val="Normal12Hanging"/>
      </w:pPr>
      <w:r w:rsidRPr="006D762B">
        <w:t>F.</w:t>
      </w:r>
      <w:r w:rsidRPr="006D762B">
        <w:tab/>
        <w:t>billi ġie rrappurtat li l-forzi ta' Assad użaw aġenti kimiċi biex jagħmlu ħsara u joqtlu lill-persuni ċivili; billi l-aħħar każ ta' użu ta' armi ta' qerda massiva kontra l-persuni ċivili seħħ fl-4 ta' April 2017 f'Khan Sheikhoun fil-provinċja ta' Idlib, fejn inqatlu tal-anqas 70 persuna ċivili, ħafna minnhom tfal, u mijiet oħra sfaw midruba; billi, fit-12 ta' April 2017, ir-Russja użat il-veto kontra riżoluzzjoni tal-Kunsill tas-Sigurtà tan-NU li kienet tikkundanna l-użu rrappurtat ta' armi kimiċi pprojbiti fis-Sirja, u li kienet tappella lill-Gvern tas-Sirja biex jikkoopera ma' investigazzjoni dwar l-inċident;</w:t>
      </w:r>
    </w:p>
    <w:p w:rsidR="00183662" w:rsidRPr="006D762B" w:rsidRDefault="00183662" w:rsidP="00183662">
      <w:pPr>
        <w:pStyle w:val="Normal12Hanging"/>
      </w:pPr>
      <w:r w:rsidRPr="006D762B">
        <w:t>G.</w:t>
      </w:r>
      <w:r w:rsidRPr="006D762B">
        <w:tab/>
        <w:t xml:space="preserve">billi l-ġustizzja, l-istat ta' dritt u l-ġlieda kontra l-impunità jikkostitwixxu elementi essenzjali li jirfdu l-isforzi għall-paċi u għar-riżoluzzjoni tal-kunflitti; </w:t>
      </w:r>
    </w:p>
    <w:p w:rsidR="00183662" w:rsidRPr="006D762B" w:rsidRDefault="00183662" w:rsidP="00183662">
      <w:pPr>
        <w:pStyle w:val="Normal12Hanging"/>
      </w:pPr>
      <w:r w:rsidRPr="006D762B">
        <w:t>H.</w:t>
      </w:r>
      <w:r w:rsidRPr="006D762B">
        <w:tab/>
        <w:t>billi, fl-4 ta' Mejju 2017, ftehim li jistabbilixxi erba' żoni ta' deeskalazzjoni ntlaħaq min-naħa tar-Russja, l-Iran u t-Turkija f'Astana (il-Każakistan); billi t-tliet pajjiżi firmatarji għandhom jaġixxu bħala garanti tat-tregwa rinnovabbli ta' sitt xhur, inkluż permezz ta' osservaturi armati fuq il-post; billi dan il-ftehim jitlob li jintemmu t-titjiriet kollha mir-reġim ta' Assad fuq dawn iż-żoni u l-aċċess umanitarju mingħajr xkiel fiż-żoni okkupati mir-ribelli; billi sessjoni ġdida ta' taħditiet immexxija min-NU se tkompli f'Ġinevra din il-ġimgħa u sessjoni oħra ta' taħditiet immexxija mir-Russja hija ppjanata għal nofs Lulju fil-Każakistan;</w:t>
      </w:r>
    </w:p>
    <w:p w:rsidR="00183662" w:rsidRPr="006D762B" w:rsidRDefault="00183662" w:rsidP="00183662">
      <w:pPr>
        <w:pStyle w:val="Normal12Hanging"/>
      </w:pPr>
      <w:r w:rsidRPr="006D762B">
        <w:t>I.</w:t>
      </w:r>
      <w:r w:rsidRPr="006D762B">
        <w:tab/>
        <w:t xml:space="preserve">billi fit-3 ta' April 2017, il-Kunsill adotta strateġija tal-UE għas-Sirja, li tinkludi l-Komunikazzjoni Konġunta mill-VP/RGħ u l-Kummissjoni dwar "Elementi għal Strateġija tal-UE għas-Sirja" u l-konklużjonijiet relatati tal-Kunsill; billi din l-istrateġija tiddeskrivi sitt oqsma ewlenin ta' prijorità, b'mod partikolari: it-tmiem tal-gwerra permezz ta' tranżizzjoni politika ġenwina; il-promozzjoni ta' tranżizzjoni sinifikanti u inklużiva; l-indirizzar tal-ħtiġijiet umanitarji tas-Sirjani l-aktar vulnerabbli; il-promozzjoni tad-demokrazija u d-drittijiet tal-bniedem; il-promozzjoni tar-responsabbiltà għad-delitti tal-gwerra u l-appoġġ għar-reżiljenza tal-popolazzjoni </w:t>
      </w:r>
      <w:r w:rsidRPr="006D762B">
        <w:lastRenderedPageBreak/>
        <w:t xml:space="preserve">Sirjana u tas-soċjetà Sirjana; </w:t>
      </w:r>
    </w:p>
    <w:p w:rsidR="00183662" w:rsidRPr="006D762B" w:rsidRDefault="00183662" w:rsidP="00183662">
      <w:pPr>
        <w:pStyle w:val="Normal12Hanging"/>
      </w:pPr>
      <w:r w:rsidRPr="006D762B">
        <w:t>J.</w:t>
      </w:r>
      <w:r w:rsidRPr="006D762B">
        <w:tab/>
        <w:t xml:space="preserve">billi, fil-5 ta' April 2017, l-UE kkopresidiet konferenza rigward "Appoġġ għall-Ġejjieni tas-Sirja u tar-Reġjun", li laqqgħet flimkien rappreżentanti minn aktar minn 70 pajjiż, kif ukoll minn organizzazzjonijiet internazzjonali u mis-soċjetà ċivili internazzjonali u Sirjana; billi din il-konferenza qablet dwar approċċ komprensiv għall-kriżi Sirjana; </w:t>
      </w:r>
    </w:p>
    <w:p w:rsidR="00183662" w:rsidRPr="006D762B" w:rsidRDefault="00183662" w:rsidP="00183662">
      <w:pPr>
        <w:pStyle w:val="Normal12Hanging"/>
      </w:pPr>
      <w:r w:rsidRPr="006D762B">
        <w:t>K.</w:t>
      </w:r>
      <w:r w:rsidRPr="006D762B">
        <w:tab/>
        <w:t xml:space="preserve">billi l-UE hija l-akbar donatur ta' għajnuna umanitarja fis-Sirja u fil-pajjiżi ġirien, b'aktar minn EUR 9 biljun impenjati sa mill-bidu tal-kriżi; </w:t>
      </w:r>
    </w:p>
    <w:p w:rsidR="00183662" w:rsidRPr="006D762B" w:rsidRDefault="00183662" w:rsidP="00183662">
      <w:pPr>
        <w:pStyle w:val="Normal12Hanging"/>
      </w:pPr>
      <w:r w:rsidRPr="006D762B">
        <w:t>1.</w:t>
      </w:r>
      <w:r w:rsidRPr="006D762B">
        <w:tab/>
        <w:t xml:space="preserve">Jiddeplora n-nuqqas ta' progress lejn soluzzjoni politika għall-kunflitt Sirjan wara sitt snin ta' vjolenza orribbli u tbatija umana; ifakkar li ma jista' jkun hemm l-ebda soluzzjoni militari sostenibbli għall-kunflitt, u jappella għall-waqfien immedjat tal-ostilitajiet, il-waqfien tal-assedji kollha, aċċess umanitarju sħiħ u mingħajr xkiel għall-pajjiż kollu, u l-protezzjoni tal-ħaddiema fil-qasam tal-għajnuna umanitarja mill-partijiet kollha; </w:t>
      </w:r>
    </w:p>
    <w:p w:rsidR="00183662" w:rsidRPr="006D762B" w:rsidRDefault="00183662" w:rsidP="00183662">
      <w:pPr>
        <w:pStyle w:val="Normal12Hanging"/>
      </w:pPr>
      <w:r w:rsidRPr="006D762B">
        <w:t>2.</w:t>
      </w:r>
      <w:r w:rsidRPr="006D762B">
        <w:tab/>
        <w:t xml:space="preserve">Josserva b'sodisfazzjon il-waqfien miżurabbli fil-ġlied f'partijiet kbar tal-pajjiż minn mindu waqfu l-ostilitajiet kif ġie nnegozjat mir-Russja u t-Turkija f'Diċembru 2016; jilqa' b'ottimiżmu kawt il-ftehim riċenti f'Astana dwar l-istabbiliment ta' żoni ta' deeskalazzjoni; jistieden lit-tliet garanti Astani jiżguraw li l-waqfien mill-ġlied jiġi rrispettat; jappella għal mandat tan-NU bbażat fuq il-Kapitolu VII li għandu jiskatta t-tnedija ta' missjoni robusta ħafna tal-Blue Helmets tan-NU sabiex tiġi ssorveljata s-sitwazzjoni fl-hekk imsejħa żoni ta' deeskalazzjoni u madwarhom; </w:t>
      </w:r>
    </w:p>
    <w:p w:rsidR="00183662" w:rsidRPr="006D762B" w:rsidRDefault="00183662" w:rsidP="00183662">
      <w:pPr>
        <w:pStyle w:val="Normal12Hanging"/>
      </w:pPr>
      <w:r w:rsidRPr="006D762B">
        <w:t>3.</w:t>
      </w:r>
      <w:r w:rsidRPr="006D762B">
        <w:tab/>
        <w:t xml:space="preserve">Jesprimi t-tama li l-inizjattivi diplomatiċi mmexxija mir-Russja jistgħu jservu biex isaħħu l-isforzi internazzjonali lejn il-kisba ta' soluzzjoni politika; jafferma mill-ġdid, f'dan il-kuntest, il-preminenza tal-proċess ta' Ġinevra mmexxi min-NU, u jappoġġja l-isforzi tal-Mibgħut Speċjali tan-NU, Staffan de Mistura, għal tranżizzjoni politika ġenwina f'konformità mar-Riżoluzzjoni 2254 tal-Kunsill tas-Sigurtà tan-NU, innegozjata mill-partijiet tal-kunflitt u bl-appoġġ ta' atturi internazzjonali u reġjonali ewlenin; jinsisti fuq l-importanza li l-minoranzi etniċi u reliġjużi jiġu inklużi f'taħditiet dwar il-ġejjieni u l-istruttura ta' governanza tas-Sirja; </w:t>
      </w:r>
    </w:p>
    <w:p w:rsidR="00183662" w:rsidRPr="006D762B" w:rsidRDefault="00183662" w:rsidP="00183662">
      <w:pPr>
        <w:pStyle w:val="Normal12Hanging"/>
      </w:pPr>
      <w:r w:rsidRPr="006D762B">
        <w:t>4.</w:t>
      </w:r>
      <w:r w:rsidRPr="006D762B">
        <w:tab/>
        <w:t>Jikkundanna mill-ġdid u bl-aktar mod qawwi, l-atroċitajiet u l-ksur fuq skala wiesgħa tad-drittijiet tal-bniedem u tad-dritt umanitarju internazzjonali mwettqa mill-forzi tar-reġim ta' Assad bl-appoġġ tal-alleati tiegħu, kif ukoll minn gruppi armati mhux statali, b'mod partikolari l-ISIS/Da'esh u Jabhat Fateh al-Sham;</w:t>
      </w:r>
    </w:p>
    <w:p w:rsidR="00183662" w:rsidRPr="006D762B" w:rsidRDefault="00183662" w:rsidP="00183662">
      <w:pPr>
        <w:pStyle w:val="Normal12Hanging"/>
      </w:pPr>
      <w:r w:rsidRPr="006D762B">
        <w:t>5.</w:t>
      </w:r>
      <w:r w:rsidRPr="006D762B">
        <w:tab/>
        <w:t xml:space="preserve">Jikkundanna l-attakk kimiku orribbli f'Khan Sheikhun fin-nofsinhar ta' Idlib fl-4 ta' April 2017, l-aktar attakk riċenti mid-diversi attakki kimiċi li twettqu matul il-kunflitt Sirjan; jilqa' l-investigazzjoni tal-Organizzazzjoni għall-Projbizzjoni ta' Armi Kimiċi (OPCW), u jinsisti fuq il-ħtieġa li l-persuni li wettqu l-attakki jinżammu responsabbli; </w:t>
      </w:r>
    </w:p>
    <w:p w:rsidR="00183662" w:rsidRPr="006D762B" w:rsidRDefault="00183662" w:rsidP="00183662">
      <w:pPr>
        <w:pStyle w:val="Normal12Hanging"/>
      </w:pPr>
      <w:r w:rsidRPr="006D762B">
        <w:t>6.</w:t>
      </w:r>
      <w:r w:rsidRPr="006D762B">
        <w:tab/>
        <w:t xml:space="preserve">Jilqa' l-adozzjoni tal-Istrateġija tal-UE rigward is-Sirja, li tipprovdi bażi solida u komprensiva għal azzjoni msaħħa tal-UE kemm fil-fażijiet tal-kunflitt kif ukoll ta' wara l-kunflitt; </w:t>
      </w:r>
    </w:p>
    <w:p w:rsidR="00183662" w:rsidRPr="006D762B" w:rsidRDefault="00183662" w:rsidP="00183662">
      <w:pPr>
        <w:pStyle w:val="Normal12Hanging"/>
      </w:pPr>
      <w:r w:rsidRPr="006D762B">
        <w:t>7.</w:t>
      </w:r>
      <w:r w:rsidRPr="006D762B">
        <w:tab/>
        <w:t xml:space="preserve">Jenfasizza, madankollu, li l-Istrateġija tal-UE rigward is-Sirja m'għandhiex timpedixxi </w:t>
      </w:r>
      <w:r w:rsidRPr="006D762B">
        <w:lastRenderedPageBreak/>
        <w:t xml:space="preserve">lill-UE milli ssegwi fi żmien qasir jew medju approċċ prammatiku u flessibbli li jippermettilha li żżomm ir-rwol diplomatiku u l-influwenza tagħha sabiex tgħin fit-tiswir tal-eżitu finali tat-taħditiet politiċi; </w:t>
      </w:r>
    </w:p>
    <w:p w:rsidR="00183662" w:rsidRPr="006D762B" w:rsidRDefault="00183662" w:rsidP="00183662">
      <w:pPr>
        <w:pStyle w:val="Normal12Hanging"/>
      </w:pPr>
      <w:r w:rsidRPr="006D762B">
        <w:t>8.</w:t>
      </w:r>
      <w:r w:rsidRPr="006D762B">
        <w:tab/>
        <w:t>Jappoġġja bis-sħiħ il-kuntatt tal-VP/RGħ ma' atturi reġjonali u lokali fil-kunflitt u t-tentattivi biex tinstab bażi komuni għall-paċi sabiex jitniedu diskussjonijiet dwar il-ġejjieni tas-Sirja;</w:t>
      </w:r>
    </w:p>
    <w:p w:rsidR="00183662" w:rsidRPr="006D762B" w:rsidRDefault="00183662" w:rsidP="00183662">
      <w:pPr>
        <w:pStyle w:val="Normal12Hanging"/>
      </w:pPr>
      <w:r w:rsidRPr="006D762B">
        <w:t>9.</w:t>
      </w:r>
      <w:r w:rsidRPr="006D762B">
        <w:tab/>
        <w:t>Jilqa' l-enfasi li tpoġġiet fuq l-appoġġ tar-reżiljenza tal-popolazzjoni Sirjana u s-soċjetà Sirjana fl-Istrateġija tal-UE rigward is-Sirja; Jistieden lill-VP/RGħ u l-Istati Membri jirduppjaw l-isforzi tagħhom mmirati lejn il-bini tal-kapaċitajiet taċ-ċittadini u s-soċjetà ċivili fis-Sirja, anke flimkien ma' atturi u permezz tagħhom, li jippromwovu d-drittijiet tal-bniedem, l-ugwaljanza (inklużi l-ugwaljanza bejn is-sessi u d-drittijiet tal-minoranzi), id-demokrazija u l-emanċipazzjoni, fejn ikun possibbli f'territorji liberati fis-Sirja kif ukoll għal rifuġjati Sirjani li qed jgħixu fl-eżilju fir-reġjun jew fl-Ewropa; jenfasizza li dan il-bini tal-kapaċità jenħtieġ isostni lis-Sirjani biex jindirizzaw it-tranżizzjoni (f'oqsma bħar-regolazzjoni tal-midja, id-deċentralizzazzjoni, l-amministrazzjoni tal-muniċipalitajiet u t-tfassil tal-kostituzzjoni), filwaqt li jqis b'mod xieraq il-ħtiġijiet u r-rwol tan-nisa;</w:t>
      </w:r>
    </w:p>
    <w:p w:rsidR="00183662" w:rsidRPr="006D762B" w:rsidRDefault="00183662" w:rsidP="00183662">
      <w:pPr>
        <w:pStyle w:val="Normal12Hanging"/>
      </w:pPr>
      <w:r w:rsidRPr="006D762B">
        <w:t>10.</w:t>
      </w:r>
      <w:r w:rsidRPr="006D762B">
        <w:tab/>
        <w:t xml:space="preserve">Jilqa' l-konklużjonijiet tal-Konferenza ta' Brussell rigward "Appoġġ għall-Ġejjieni tas-Sirja u tar-Reġjun" li saret fl-4 u l-5 ta' April 2017; jenfasizza li l-ħtiġijiet umanitarji se jibqgħu essenzjali għal ħafna snin, u jħeġġeġ lill-UE u lill-Istati Membri tagħha biex jiggarantixxu l-impenn tagħhom fuq perjodu twil biex jissodisfaw il-ħtiġijiet umanitarji u ta' rikostruzzjoni tas-Sirja; </w:t>
      </w:r>
    </w:p>
    <w:p w:rsidR="00183662" w:rsidRPr="006D762B" w:rsidRDefault="00183662" w:rsidP="00183662">
      <w:pPr>
        <w:pStyle w:val="Normal12Hanging"/>
      </w:pPr>
      <w:r w:rsidRPr="006D762B">
        <w:t>11.</w:t>
      </w:r>
      <w:r w:rsidRPr="006D762B">
        <w:tab/>
        <w:t xml:space="preserve">Jilqa' l-impenn tal-UE lejn l-għajnuna umanitarja li għaddejja bħalissa għall-pajjiżi ġirien tas-Sirja li qed jospitaw miljuni ta' rifuġjati; jistieden, madankollu, lill-Istati Membri juru impenn ferm aktar qawwi favur il-kondiviżjoni tar-responsabbiltà, li tippermetti lir-rifuġjati li qed jaħarbu miż-żoni tal-gwerra tas-Sirja biex isibu protezzjoni lil hinn mir-reġjun tal-viċinat dirett permezz ta' risistemazzjoni, skemi ta' ammissjoni umanitarja, riunifikazzjoni simplifikata tal-familji jew regolamenti aktar flessibbli dwar il-viżi; </w:t>
      </w:r>
    </w:p>
    <w:p w:rsidR="00183662" w:rsidRPr="006D762B" w:rsidRDefault="00183662" w:rsidP="00183662">
      <w:pPr>
        <w:pStyle w:val="Normal12Hanging"/>
      </w:pPr>
      <w:r w:rsidRPr="006D762B">
        <w:t>12.</w:t>
      </w:r>
      <w:r w:rsidRPr="006D762B">
        <w:tab/>
        <w:t xml:space="preserve">Jilqa' l-promozzjoni tar-responsabbiltà għad-delitti tal-gwerra bħala qasam ewlieni tal-Istrateġija tal-UE rigward is-Sirja; jinsisti, madankollu, li għandha tittieħed azzjoni ulterjuri f'dan il-qasam, inkluż permezz tal-adozzjoni ta' politika komuni tal-UE dwar strateġija koordinata ta' responsabbiltà għad-delitti tal-gwerra mwettqa fis-Sirja, u jistieden lill-VP/RGħ tieħu rwol proattiv f'dan ir-rigward; </w:t>
      </w:r>
    </w:p>
    <w:p w:rsidR="00183662" w:rsidRPr="006D762B" w:rsidRDefault="00183662" w:rsidP="00183662">
      <w:pPr>
        <w:pStyle w:val="Normal12Hanging"/>
      </w:pPr>
      <w:r w:rsidRPr="006D762B">
        <w:t>13.</w:t>
      </w:r>
      <w:r w:rsidRPr="006D762B">
        <w:tab/>
        <w:t xml:space="preserve">Itenni t-talba tiegħu lill-UE u lill-Istati Membri tagħha biex jesploraw, f'koordinazzjoni mill-qrib ma' pajjiżi bl-istess fehma, il-ħolqien ta' tribunal għad-delitti tal-gwerra fis-Sirja, sakemm issir referenza lill-Qorti Kriminali Internazzjonali; iħeġġeġ lill-Istati Membri jieħdu l-miżuri kollha meħtieġa sabiex dawk li allegatament wettqu delitt jinżammu responsabbli, b'mod partikolari permezz tal-applikazzjoni tal-prinċipju tal-ġuriżdizzjoni universali u permezz tal-investigazzjoni u l-prosekuzzjoni ta' ċittadini tal-UE responsabbli għal delitti atroċi fis-Sirja; </w:t>
      </w:r>
    </w:p>
    <w:p w:rsidR="00183662" w:rsidRPr="006D762B" w:rsidRDefault="00183662" w:rsidP="00183662">
      <w:pPr>
        <w:pStyle w:val="Normal12Hanging"/>
      </w:pPr>
      <w:r w:rsidRPr="006D762B">
        <w:t>14.</w:t>
      </w:r>
      <w:r w:rsidRPr="006D762B">
        <w:tab/>
        <w:t xml:space="preserve">Jistieden lill-Istati Membri u l-alleati tagħhom, speċjalment l-Istati Uniti, jiżguraw it-trasparenza, l-obbligu ta' rendikont u l-konformità sħiħa mad-dritt umanitarju </w:t>
      </w:r>
      <w:r w:rsidRPr="006D762B">
        <w:lastRenderedPageBreak/>
        <w:t xml:space="preserve">internazzjonali u dak tad-drittijiet tal-bniedem b'rabta mal-parteċipazzjoni tagħhom fi sforzi ta' koalizzjoni internazzjonali, kif ukoll rigward il-kooperazzjoni militari tagħhom ma' partijiet involuti fil-kunflitt; </w:t>
      </w:r>
    </w:p>
    <w:p w:rsidR="00183662" w:rsidRPr="006D762B" w:rsidRDefault="00183662" w:rsidP="00183662">
      <w:pPr>
        <w:pStyle w:val="Normal12Hanging"/>
      </w:pPr>
      <w:r w:rsidRPr="006D762B">
        <w:t>15.</w:t>
      </w:r>
      <w:r w:rsidRPr="006D762B">
        <w:tab/>
        <w:t>Jagħti istruzzjonijiet lil-President tiegħu biex jgħaddi din ir-riżoluzzjoni lill-Kunsill, lill-Kummissjoni, lill-Viċi President tal-Kummissjoni/Rappreżentant Għoli tal-Unjoni għall-Affarijiet Barranin u l-Politika ta' Sigurtà, lill-gvernijiet u lill-parlamenti tal-Istati Membri, lis-Segretarju Ġenerali tan-Nazzjonijiet Uniti, lill-Mibgħut Speċjali tan-NU u tal-Lega Għarbija għas-Sirja, lill-membri tal-Grupp Internazzjonali ta' Appoġġ għas-Sirja, u lill-partijiet involuti fil-kunflitt fis-Sirja.</w:t>
      </w:r>
    </w:p>
    <w:p w:rsidR="00814BC6" w:rsidRPr="006D762B" w:rsidRDefault="00814BC6">
      <w:pPr>
        <w:pStyle w:val="Normal12Hanging"/>
      </w:pPr>
    </w:p>
    <w:sectPr w:rsidR="00814BC6" w:rsidRPr="006D762B" w:rsidSect="006D76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6B0" w:rsidRPr="006D762B" w:rsidRDefault="007F06B0">
      <w:r w:rsidRPr="006D762B">
        <w:separator/>
      </w:r>
    </w:p>
  </w:endnote>
  <w:endnote w:type="continuationSeparator" w:id="0">
    <w:p w:rsidR="007F06B0" w:rsidRPr="006D762B" w:rsidRDefault="007F06B0">
      <w:r w:rsidRPr="006D76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62B" w:rsidRPr="006D762B" w:rsidRDefault="006D762B" w:rsidP="006D762B">
    <w:pPr>
      <w:pStyle w:val="Footer"/>
    </w:pPr>
    <w:r w:rsidRPr="006D762B">
      <w:t>PE</w:t>
    </w:r>
    <w:r w:rsidRPr="006D762B">
      <w:rPr>
        <w:rStyle w:val="HideTWBExt"/>
        <w:noProof w:val="0"/>
      </w:rPr>
      <w:t>&lt;NoPE&gt;</w:t>
    </w:r>
    <w:r w:rsidRPr="006D762B">
      <w:t>603.766</w:t>
    </w:r>
    <w:r w:rsidRPr="006D762B">
      <w:rPr>
        <w:rStyle w:val="HideTWBExt"/>
        <w:noProof w:val="0"/>
      </w:rPr>
      <w:t>&lt;/NoPE&gt;&lt;Version&gt;</w:t>
    </w:r>
    <w:r w:rsidRPr="006D762B">
      <w:t>v01-00</w:t>
    </w:r>
    <w:r w:rsidRPr="006D762B">
      <w:rPr>
        <w:rStyle w:val="HideTWBExt"/>
        <w:noProof w:val="0"/>
      </w:rPr>
      <w:t>&lt;/Version&gt;</w:t>
    </w:r>
    <w:r w:rsidRPr="006D762B">
      <w:tab/>
    </w:r>
    <w:r w:rsidRPr="006D762B">
      <w:fldChar w:fldCharType="begin"/>
    </w:r>
    <w:r w:rsidRPr="006D762B">
      <w:instrText xml:space="preserve"> PAGE  \* MERGEFORMAT </w:instrText>
    </w:r>
    <w:r w:rsidRPr="006D762B">
      <w:fldChar w:fldCharType="separate"/>
    </w:r>
    <w:r w:rsidR="00E32007">
      <w:rPr>
        <w:noProof/>
      </w:rPr>
      <w:t>2</w:t>
    </w:r>
    <w:r w:rsidRPr="006D762B">
      <w:fldChar w:fldCharType="end"/>
    </w:r>
    <w:r w:rsidRPr="006D762B">
      <w:t>/</w:t>
    </w:r>
    <w:r w:rsidR="00E32007">
      <w:fldChar w:fldCharType="begin"/>
    </w:r>
    <w:r w:rsidR="00E32007">
      <w:instrText xml:space="preserve"> NUMPAGES  \* MERGEFORMAT </w:instrText>
    </w:r>
    <w:r w:rsidR="00E32007">
      <w:fldChar w:fldCharType="separate"/>
    </w:r>
    <w:r w:rsidR="00E32007">
      <w:rPr>
        <w:noProof/>
      </w:rPr>
      <w:t>6</w:t>
    </w:r>
    <w:r w:rsidR="00E32007">
      <w:rPr>
        <w:noProof/>
      </w:rPr>
      <w:fldChar w:fldCharType="end"/>
    </w:r>
    <w:r w:rsidRPr="006D762B">
      <w:tab/>
    </w:r>
    <w:r w:rsidRPr="006D762B">
      <w:rPr>
        <w:rStyle w:val="HideTWBExt"/>
        <w:noProof w:val="0"/>
      </w:rPr>
      <w:t>&lt;PathFdR&gt;</w:t>
    </w:r>
    <w:r w:rsidRPr="006D762B">
      <w:t>RE\1126037MT.docx</w:t>
    </w:r>
    <w:r w:rsidRPr="006D762B">
      <w:rPr>
        <w:rStyle w:val="HideTWBExt"/>
        <w:noProof w:val="0"/>
      </w:rPr>
      <w:t>&lt;/PathFdR&gt;</w:t>
    </w:r>
  </w:p>
  <w:p w:rsidR="00A90219" w:rsidRPr="006D762B" w:rsidRDefault="006D762B" w:rsidP="006D762B">
    <w:pPr>
      <w:pStyle w:val="Footer2"/>
    </w:pPr>
    <w:r w:rsidRPr="006D762B">
      <w:t>MT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62B" w:rsidRPr="006D762B" w:rsidRDefault="006D762B" w:rsidP="006D762B">
    <w:pPr>
      <w:pStyle w:val="Footer"/>
    </w:pPr>
    <w:r w:rsidRPr="006D762B">
      <w:rPr>
        <w:rStyle w:val="HideTWBExt"/>
        <w:noProof w:val="0"/>
      </w:rPr>
      <w:t>&lt;PathFdR&gt;</w:t>
    </w:r>
    <w:r w:rsidRPr="006D762B">
      <w:t>RE\1126037MT.docx</w:t>
    </w:r>
    <w:r w:rsidRPr="006D762B">
      <w:rPr>
        <w:rStyle w:val="HideTWBExt"/>
        <w:noProof w:val="0"/>
      </w:rPr>
      <w:t>&lt;/PathFdR&gt;</w:t>
    </w:r>
    <w:r w:rsidRPr="006D762B">
      <w:tab/>
    </w:r>
    <w:r w:rsidRPr="006D762B">
      <w:fldChar w:fldCharType="begin"/>
    </w:r>
    <w:r w:rsidRPr="006D762B">
      <w:instrText xml:space="preserve"> PAGE  \* MERGEFORMAT </w:instrText>
    </w:r>
    <w:r w:rsidRPr="006D762B">
      <w:fldChar w:fldCharType="separate"/>
    </w:r>
    <w:r w:rsidR="00E32007">
      <w:rPr>
        <w:noProof/>
      </w:rPr>
      <w:t>3</w:t>
    </w:r>
    <w:r w:rsidRPr="006D762B">
      <w:fldChar w:fldCharType="end"/>
    </w:r>
    <w:r w:rsidRPr="006D762B">
      <w:t>/</w:t>
    </w:r>
    <w:r w:rsidR="00E32007">
      <w:fldChar w:fldCharType="begin"/>
    </w:r>
    <w:r w:rsidR="00E32007">
      <w:instrText xml:space="preserve"> NUMPAGES  \* MERGEFORMAT </w:instrText>
    </w:r>
    <w:r w:rsidR="00E32007">
      <w:fldChar w:fldCharType="separate"/>
    </w:r>
    <w:r w:rsidR="00E32007">
      <w:rPr>
        <w:noProof/>
      </w:rPr>
      <w:t>6</w:t>
    </w:r>
    <w:r w:rsidR="00E32007">
      <w:fldChar w:fldCharType="end"/>
    </w:r>
    <w:r w:rsidRPr="006D762B">
      <w:tab/>
      <w:t>PE</w:t>
    </w:r>
    <w:r w:rsidRPr="006D762B">
      <w:rPr>
        <w:rStyle w:val="HideTWBExt"/>
        <w:noProof w:val="0"/>
      </w:rPr>
      <w:t>&lt;NoPE&gt;</w:t>
    </w:r>
    <w:r w:rsidRPr="006D762B">
      <w:t>603.766</w:t>
    </w:r>
    <w:r w:rsidRPr="006D762B">
      <w:rPr>
        <w:rStyle w:val="HideTWBExt"/>
        <w:noProof w:val="0"/>
      </w:rPr>
      <w:t>&lt;/NoPE&gt;&lt;Version&gt;</w:t>
    </w:r>
    <w:r w:rsidRPr="006D762B">
      <w:t>v01-00</w:t>
    </w:r>
    <w:r w:rsidRPr="006D762B">
      <w:rPr>
        <w:rStyle w:val="HideTWBExt"/>
        <w:noProof w:val="0"/>
      </w:rPr>
      <w:t>&lt;/Version&gt;</w:t>
    </w:r>
  </w:p>
  <w:p w:rsidR="00A90219" w:rsidRPr="006D762B" w:rsidRDefault="006D762B" w:rsidP="006D762B">
    <w:pPr>
      <w:pStyle w:val="Footer2"/>
    </w:pPr>
    <w:r w:rsidRPr="006D762B">
      <w:tab/>
      <w:t>MT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62B" w:rsidRPr="006D762B" w:rsidRDefault="006D762B" w:rsidP="006D762B">
    <w:pPr>
      <w:pStyle w:val="Footer"/>
    </w:pPr>
    <w:r w:rsidRPr="006D762B">
      <w:rPr>
        <w:rStyle w:val="HideTWBExt"/>
        <w:noProof w:val="0"/>
      </w:rPr>
      <w:t>&lt;PathFdR&gt;</w:t>
    </w:r>
    <w:r w:rsidRPr="006D762B">
      <w:t>RE\1126037MT.docx</w:t>
    </w:r>
    <w:r w:rsidRPr="006D762B">
      <w:rPr>
        <w:rStyle w:val="HideTWBExt"/>
        <w:noProof w:val="0"/>
      </w:rPr>
      <w:t>&lt;/PathFdR&gt;</w:t>
    </w:r>
    <w:r w:rsidRPr="006D762B">
      <w:tab/>
    </w:r>
    <w:r w:rsidRPr="006D762B">
      <w:tab/>
      <w:t>PE</w:t>
    </w:r>
    <w:r w:rsidRPr="006D762B">
      <w:rPr>
        <w:rStyle w:val="HideTWBExt"/>
        <w:noProof w:val="0"/>
      </w:rPr>
      <w:t>&lt;NoPE&gt;</w:t>
    </w:r>
    <w:r w:rsidRPr="006D762B">
      <w:t>603.766</w:t>
    </w:r>
    <w:r w:rsidRPr="006D762B">
      <w:rPr>
        <w:rStyle w:val="HideTWBExt"/>
        <w:noProof w:val="0"/>
      </w:rPr>
      <w:t>&lt;/NoPE&gt;&lt;Version&gt;</w:t>
    </w:r>
    <w:r w:rsidRPr="006D762B">
      <w:t>v01-00</w:t>
    </w:r>
    <w:r w:rsidRPr="006D762B">
      <w:rPr>
        <w:rStyle w:val="HideTWBExt"/>
        <w:noProof w:val="0"/>
      </w:rPr>
      <w:t>&lt;/Version&gt;</w:t>
    </w:r>
  </w:p>
  <w:p w:rsidR="00A90219" w:rsidRPr="006D762B" w:rsidRDefault="006D762B" w:rsidP="006D762B">
    <w:pPr>
      <w:pStyle w:val="Footer2"/>
      <w:tabs>
        <w:tab w:val="center" w:pos="4535"/>
      </w:tabs>
    </w:pPr>
    <w:r w:rsidRPr="006D762B">
      <w:t>MT</w:t>
    </w:r>
    <w:r w:rsidRPr="006D762B">
      <w:tab/>
    </w:r>
    <w:r w:rsidRPr="006D762B">
      <w:rPr>
        <w:b w:val="0"/>
        <w:i/>
        <w:color w:val="C0C0C0"/>
        <w:sz w:val="22"/>
      </w:rPr>
      <w:t>Magħquda fid-diversità</w:t>
    </w:r>
    <w:r w:rsidRPr="006D762B">
      <w:tab/>
      <w:t>MT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6B0" w:rsidRPr="006D762B" w:rsidRDefault="007F06B0">
      <w:r w:rsidRPr="006D762B">
        <w:separator/>
      </w:r>
    </w:p>
  </w:footnote>
  <w:footnote w:type="continuationSeparator" w:id="0">
    <w:p w:rsidR="007F06B0" w:rsidRPr="006D762B" w:rsidRDefault="007F06B0">
      <w:r w:rsidRPr="006D762B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007" w:rsidRDefault="00E3200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007" w:rsidRDefault="00E3200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007" w:rsidRDefault="00E3200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pyToNetwork" w:val="-1"/>
    <w:docVar w:name="DOCTYPEMNU" w:val=" 2"/>
    <w:docVar w:name="LastEditedSection" w:val=" 1"/>
    <w:docVar w:name="STATMNU" w:val=" 4"/>
    <w:docVar w:name="strDocTypeID" w:val="RE_Statements"/>
    <w:docVar w:name="strSubDir" w:val="1126"/>
    <w:docVar w:name="TXTLANGUE" w:val="MT"/>
    <w:docVar w:name="TXTLANGUEMIN" w:val="mt"/>
    <w:docVar w:name="TXTNRB" w:val="0341/2017"/>
    <w:docVar w:name="TXTNRPE" w:val="603.766"/>
    <w:docVar w:name="TXTNRRSP" w:val="2017/2654"/>
    <w:docVar w:name="TXTPEorAP" w:val="PE"/>
    <w:docVar w:name="TXTROUTE" w:val="RE\1126037MT.docx"/>
    <w:docVar w:name="TXTVERSION" w:val="01-00"/>
  </w:docVars>
  <w:rsids>
    <w:rsidRoot w:val="007F06B0"/>
    <w:rsid w:val="00037F46"/>
    <w:rsid w:val="00094DDA"/>
    <w:rsid w:val="00183662"/>
    <w:rsid w:val="001B49A3"/>
    <w:rsid w:val="001C62C5"/>
    <w:rsid w:val="002574AA"/>
    <w:rsid w:val="002C7767"/>
    <w:rsid w:val="00303413"/>
    <w:rsid w:val="003772FA"/>
    <w:rsid w:val="00464400"/>
    <w:rsid w:val="0058312A"/>
    <w:rsid w:val="006D762B"/>
    <w:rsid w:val="00706BC0"/>
    <w:rsid w:val="00723A0B"/>
    <w:rsid w:val="00780A7D"/>
    <w:rsid w:val="007B0B75"/>
    <w:rsid w:val="007F06B0"/>
    <w:rsid w:val="00814BC6"/>
    <w:rsid w:val="008A4052"/>
    <w:rsid w:val="008C61F5"/>
    <w:rsid w:val="00907285"/>
    <w:rsid w:val="00A75BD4"/>
    <w:rsid w:val="00A90219"/>
    <w:rsid w:val="00B34A46"/>
    <w:rsid w:val="00C23264"/>
    <w:rsid w:val="00CC09D8"/>
    <w:rsid w:val="00D12F64"/>
    <w:rsid w:val="00D90D37"/>
    <w:rsid w:val="00E32007"/>
    <w:rsid w:val="00E53167"/>
    <w:rsid w:val="00F26DE8"/>
    <w:rsid w:val="00F4455A"/>
    <w:rsid w:val="00F9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35956438-305D-4136-8A8A-BB6009B7B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Footer">
    <w:name w:val="footer"/>
    <w:basedOn w:val="Normal12a12b"/>
    <w:pPr>
      <w:tabs>
        <w:tab w:val="center" w:pos="4535"/>
        <w:tab w:val="right" w:pos="9071"/>
      </w:tabs>
    </w:pPr>
    <w:rPr>
      <w:sz w:val="22"/>
    </w:rPr>
  </w:style>
  <w:style w:type="paragraph" w:customStyle="1" w:styleId="Normal12a12b">
    <w:name w:val="Normal12a12b"/>
    <w:basedOn w:val="Normal"/>
    <w:pPr>
      <w:spacing w:before="240" w:after="240"/>
    </w:pPr>
  </w:style>
  <w:style w:type="paragraph" w:customStyle="1" w:styleId="Footer2">
    <w:name w:val="Footer2"/>
    <w:basedOn w:val="Normal"/>
    <w:pPr>
      <w:widowControl/>
      <w:tabs>
        <w:tab w:val="right" w:pos="9921"/>
      </w:tabs>
      <w:spacing w:after="240"/>
      <w:ind w:left="-850" w:right="-850"/>
    </w:pPr>
    <w:rPr>
      <w:rFonts w:ascii="Arial" w:hAnsi="Arial" w:cs="Arial"/>
      <w:b/>
      <w:sz w:val="48"/>
    </w:rPr>
  </w:style>
  <w:style w:type="paragraph" w:customStyle="1" w:styleId="Normal12">
    <w:name w:val="Normal12"/>
    <w:basedOn w:val="Normal"/>
    <w:pPr>
      <w:spacing w:after="240"/>
    </w:pPr>
  </w:style>
  <w:style w:type="paragraph" w:styleId="TOC1">
    <w:name w:val="toc 1"/>
    <w:basedOn w:val="Normal12"/>
    <w:next w:val="Normal12"/>
    <w:autoRedefine/>
    <w:semiHidden/>
  </w:style>
  <w:style w:type="paragraph" w:styleId="TOCHeading">
    <w:name w:val="TOC Heading"/>
    <w:basedOn w:val="Normal12"/>
    <w:next w:val="Normal12"/>
    <w:qFormat/>
    <w:pPr>
      <w:keepNext/>
      <w:spacing w:before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12"/>
    <w:next w:val="TOC1"/>
    <w:pPr>
      <w:keepNext/>
      <w:jc w:val="right"/>
    </w:pPr>
    <w:rPr>
      <w:rFonts w:ascii="Arial" w:hAnsi="Arial"/>
      <w:b/>
    </w:rPr>
  </w:style>
  <w:style w:type="character" w:customStyle="1" w:styleId="HideTWBInt">
    <w:name w:val="HideTWBInt"/>
    <w:rPr>
      <w:vanish/>
      <w:color w:val="808080"/>
    </w:rPr>
  </w:style>
  <w:style w:type="paragraph" w:customStyle="1" w:styleId="TableofEntries">
    <w:name w:val="Table of Entries"/>
    <w:basedOn w:val="Normal12"/>
    <w:pPr>
      <w:widowControl/>
      <w:tabs>
        <w:tab w:val="right" w:leader="dot" w:pos="9072"/>
      </w:tabs>
      <w:jc w:val="both"/>
    </w:pPr>
  </w:style>
  <w:style w:type="paragraph" w:customStyle="1" w:styleId="Normal6">
    <w:name w:val="Normal6"/>
    <w:basedOn w:val="Normal"/>
    <w:pPr>
      <w:spacing w:after="120"/>
    </w:pPr>
  </w:style>
  <w:style w:type="paragraph" w:customStyle="1" w:styleId="PageHeading">
    <w:name w:val="PageHeading"/>
    <w:basedOn w:val="Normal12a12b"/>
    <w:pPr>
      <w:keepNext/>
      <w:jc w:val="center"/>
    </w:pPr>
    <w:rPr>
      <w:rFonts w:ascii="Arial" w:hAnsi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12Bold">
    <w:name w:val="Normal12Bold"/>
    <w:basedOn w:val="Normal12"/>
    <w:rPr>
      <w:b/>
    </w:rPr>
  </w:style>
  <w:style w:type="paragraph" w:customStyle="1" w:styleId="Normal12Italic">
    <w:name w:val="Normal12Italic"/>
    <w:basedOn w:val="Normal12"/>
    <w:rPr>
      <w:i/>
    </w:rPr>
  </w:style>
  <w:style w:type="paragraph" w:customStyle="1" w:styleId="Normal12Hanging">
    <w:name w:val="Normal12Hanging"/>
    <w:basedOn w:val="Normal12"/>
    <w:pPr>
      <w:ind w:left="567" w:hanging="567"/>
    </w:pPr>
  </w:style>
  <w:style w:type="paragraph" w:customStyle="1" w:styleId="CoverBold">
    <w:name w:val="CoverBold"/>
    <w:basedOn w:val="CoverNormal"/>
    <w:rsid w:val="002574AA"/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Normal24">
    <w:name w:val="Normal24"/>
    <w:basedOn w:val="Normal"/>
    <w:pPr>
      <w:spacing w:after="480"/>
    </w:pPr>
  </w:style>
  <w:style w:type="paragraph" w:customStyle="1" w:styleId="Cover12">
    <w:name w:val="Cover12"/>
    <w:basedOn w:val="Normal12"/>
    <w:pPr>
      <w:ind w:left="1418"/>
    </w:pPr>
  </w:style>
  <w:style w:type="paragraph" w:customStyle="1" w:styleId="Cover24">
    <w:name w:val="Cover24"/>
    <w:basedOn w:val="Normal24"/>
    <w:pPr>
      <w:ind w:left="1418"/>
    </w:pPr>
  </w:style>
  <w:style w:type="paragraph" w:customStyle="1" w:styleId="EntPE">
    <w:name w:val="EntPE"/>
    <w:basedOn w:val="Normal12"/>
    <w:pPr>
      <w:jc w:val="center"/>
    </w:pPr>
    <w:rPr>
      <w:sz w:val="56"/>
    </w:rPr>
  </w:style>
  <w:style w:type="paragraph" w:customStyle="1" w:styleId="Hanging12">
    <w:name w:val="Hanging12"/>
    <w:basedOn w:val="Normal12"/>
    <w:pPr>
      <w:tabs>
        <w:tab w:val="left" w:pos="357"/>
      </w:tabs>
      <w:ind w:left="357" w:hanging="357"/>
    </w:pPr>
  </w:style>
  <w:style w:type="paragraph" w:customStyle="1" w:styleId="Normal12a12bBold">
    <w:name w:val="Normal12a12bBold"/>
    <w:basedOn w:val="Normal12a12b"/>
    <w:rPr>
      <w:b/>
    </w:rPr>
  </w:style>
  <w:style w:type="paragraph" w:customStyle="1" w:styleId="Normal12a12bJ">
    <w:name w:val="Normal12a12bJ"/>
    <w:basedOn w:val="Normal12a12b"/>
    <w:pPr>
      <w:jc w:val="both"/>
    </w:pPr>
  </w:style>
  <w:style w:type="paragraph" w:customStyle="1" w:styleId="Normal12a12bKeep">
    <w:name w:val="Normal12a12bKeep"/>
    <w:basedOn w:val="Normal12a12b"/>
    <w:pPr>
      <w:keepNext/>
    </w:pPr>
  </w:style>
  <w:style w:type="paragraph" w:customStyle="1" w:styleId="Normal12BoldKeep">
    <w:name w:val="Normal12BoldKeep"/>
    <w:basedOn w:val="Normal12"/>
    <w:pPr>
      <w:keepNext/>
    </w:pPr>
    <w:rPr>
      <w:b/>
    </w:rPr>
  </w:style>
  <w:style w:type="paragraph" w:customStyle="1" w:styleId="Normal12Centre">
    <w:name w:val="Normal12Centre"/>
    <w:basedOn w:val="Normal12"/>
    <w:pPr>
      <w:jc w:val="center"/>
    </w:pPr>
  </w:style>
  <w:style w:type="paragraph" w:customStyle="1" w:styleId="Normal12ItalicKeep">
    <w:name w:val="Normal12ItalicKeep"/>
    <w:basedOn w:val="Normal12"/>
    <w:pPr>
      <w:keepNext/>
    </w:pPr>
    <w:rPr>
      <w:i/>
    </w:rPr>
  </w:style>
  <w:style w:type="paragraph" w:customStyle="1" w:styleId="Normal12J">
    <w:name w:val="Normal12J"/>
    <w:basedOn w:val="Normal12"/>
    <w:pPr>
      <w:jc w:val="both"/>
    </w:pPr>
  </w:style>
  <w:style w:type="paragraph" w:customStyle="1" w:styleId="Normal12Keep">
    <w:name w:val="Normal12Keep"/>
    <w:basedOn w:val="Normal12"/>
    <w:pPr>
      <w:keepNext/>
    </w:pPr>
  </w:style>
  <w:style w:type="paragraph" w:customStyle="1" w:styleId="Normal12Tab">
    <w:name w:val="Normal12Tab"/>
    <w:basedOn w:val="Normal12"/>
    <w:rsid w:val="001B49A3"/>
    <w:pPr>
      <w:tabs>
        <w:tab w:val="left" w:pos="567"/>
      </w:tabs>
    </w:pPr>
  </w:style>
  <w:style w:type="paragraph" w:customStyle="1" w:styleId="Normal30Keep">
    <w:name w:val="Normal30Keep"/>
    <w:basedOn w:val="Normal"/>
    <w:pPr>
      <w:keepNext/>
      <w:spacing w:after="600"/>
    </w:pPr>
  </w:style>
  <w:style w:type="paragraph" w:customStyle="1" w:styleId="Normal36Bold">
    <w:name w:val="Normal36Bold"/>
    <w:basedOn w:val="Normal"/>
    <w:pPr>
      <w:spacing w:after="720"/>
    </w:pPr>
    <w:rPr>
      <w:b/>
    </w:rPr>
  </w:style>
  <w:style w:type="paragraph" w:customStyle="1" w:styleId="NormalBoldCentre">
    <w:name w:val="NormalBoldCentre"/>
    <w:basedOn w:val="Normal"/>
    <w:pPr>
      <w:jc w:val="center"/>
    </w:pPr>
    <w:rPr>
      <w:b/>
    </w:rPr>
  </w:style>
  <w:style w:type="paragraph" w:customStyle="1" w:styleId="NormalBoldKeep">
    <w:name w:val="NormalBoldKeep"/>
    <w:basedOn w:val="Normal"/>
    <w:pPr>
      <w:keepNext/>
    </w:pPr>
    <w:rPr>
      <w:b/>
    </w:rPr>
  </w:style>
  <w:style w:type="paragraph" w:customStyle="1" w:styleId="NormalCentre">
    <w:name w:val="NormalCentre"/>
    <w:basedOn w:val="Normal"/>
    <w:pPr>
      <w:jc w:val="center"/>
    </w:pPr>
  </w:style>
  <w:style w:type="paragraph" w:customStyle="1" w:styleId="NormalCentreKeep">
    <w:name w:val="NormalCentreKeep"/>
    <w:basedOn w:val="Normal"/>
    <w:pPr>
      <w:keepNext/>
      <w:jc w:val="center"/>
    </w:pPr>
  </w:style>
  <w:style w:type="paragraph" w:customStyle="1" w:styleId="NormalJ">
    <w:name w:val="NormalJ"/>
    <w:basedOn w:val="Normal"/>
    <w:pPr>
      <w:jc w:val="both"/>
    </w:pPr>
  </w:style>
  <w:style w:type="paragraph" w:customStyle="1" w:styleId="NormalKeep">
    <w:name w:val="NormalKeep"/>
    <w:basedOn w:val="Normal"/>
    <w:pPr>
      <w:keepNext/>
    </w:pPr>
  </w:style>
  <w:style w:type="paragraph" w:customStyle="1" w:styleId="TypeDoc">
    <w:name w:val="TypeDoc"/>
    <w:basedOn w:val="Normal24"/>
    <w:pPr>
      <w:ind w:left="1418"/>
    </w:pPr>
    <w:rPr>
      <w:rFonts w:ascii="Arial" w:hAnsi="Arial"/>
      <w:b/>
      <w:sz w:val="48"/>
    </w:rPr>
  </w:style>
  <w:style w:type="paragraph" w:customStyle="1" w:styleId="ZDateRes">
    <w:name w:val="ZDateRes"/>
    <w:basedOn w:val="Normal"/>
    <w:pPr>
      <w:tabs>
        <w:tab w:val="right" w:pos="9072"/>
      </w:tabs>
      <w:spacing w:before="1920" w:after="120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E53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SessionDoc">
    <w:name w:val="ZSessionDoc"/>
    <w:basedOn w:val="Normal"/>
    <w:next w:val="Normal"/>
    <w:rsid w:val="00E5316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ZSessionDoc"/>
    <w:rsid w:val="00E53167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094DDA"/>
    <w:pPr>
      <w:pBdr>
        <w:bottom w:val="single" w:sz="4" w:space="1" w:color="auto"/>
      </w:pBdr>
      <w:spacing w:after="840"/>
      <w:jc w:val="center"/>
    </w:pPr>
    <w:rPr>
      <w:rFonts w:ascii="Arial" w:hAnsi="Arial"/>
      <w:sz w:val="16"/>
      <w:szCs w:val="16"/>
    </w:rPr>
  </w:style>
  <w:style w:type="paragraph" w:customStyle="1" w:styleId="Normal24Bold">
    <w:name w:val="Normal24Bold"/>
    <w:basedOn w:val="Normal"/>
    <w:rsid w:val="00C23264"/>
    <w:pPr>
      <w:spacing w:after="480"/>
    </w:pPr>
    <w:rPr>
      <w:b/>
    </w:rPr>
  </w:style>
  <w:style w:type="paragraph" w:customStyle="1" w:styleId="EPName">
    <w:name w:val="EPName"/>
    <w:basedOn w:val="Normal"/>
    <w:rsid w:val="00706BC0"/>
    <w:pPr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06BC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06BC0"/>
    <w:pPr>
      <w:jc w:val="right"/>
    </w:pPr>
  </w:style>
  <w:style w:type="paragraph" w:customStyle="1" w:styleId="RefProc">
    <w:name w:val="RefProc"/>
    <w:basedOn w:val="Normal"/>
    <w:rsid w:val="00094DDA"/>
    <w:pPr>
      <w:spacing w:before="240" w:after="240"/>
      <w:jc w:val="right"/>
    </w:pPr>
    <w:rPr>
      <w:rFonts w:ascii="Arial" w:hAnsi="Arial"/>
      <w:b/>
    </w:rPr>
  </w:style>
  <w:style w:type="paragraph" w:customStyle="1" w:styleId="ZDate">
    <w:name w:val="ZDate"/>
    <w:basedOn w:val="Normal"/>
    <w:rsid w:val="00094DDA"/>
    <w:pPr>
      <w:spacing w:after="1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2593EAAA.dotm</Template>
  <TotalTime>0</TotalTime>
  <Pages>6</Pages>
  <Words>1685</Words>
  <Characters>12522</Characters>
  <Application>Microsoft Office Word</Application>
  <DocSecurity>0</DocSecurity>
  <Lines>195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RE_Statements</vt:lpstr>
    </vt:vector>
  </TitlesOfParts>
  <Company/>
  <LinksUpToDate>false</LinksUpToDate>
  <CharactersWithSpaces>14148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RE_Statements</dc:title>
  <dc:subject/>
  <dc:creator>CAMILLERI Etleva</dc:creator>
  <cp:keywords/>
  <dc:description/>
  <cp:lastModifiedBy>VELLA George</cp:lastModifiedBy>
  <cp:revision>2</cp:revision>
  <cp:lastPrinted>2004-11-19T14:55:00Z</cp:lastPrinted>
  <dcterms:created xsi:type="dcterms:W3CDTF">2017-05-17T15:43:00Z</dcterms:created>
  <dcterms:modified xsi:type="dcterms:W3CDTF">2017-05-17T15:43:00Z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9.0.0 Build [20170325]</vt:lpwstr>
  </property>
  <property fmtid="{D5CDD505-2E9C-101B-9397-08002B2CF9AE}" pid="3" name="LastEdited with">
    <vt:lpwstr>9.0.0 Build [20170325]</vt:lpwstr>
  </property>
  <property fmtid="{D5CDD505-2E9C-101B-9397-08002B2CF9AE}" pid="4" name="&lt;FdR&gt;">
    <vt:lpwstr>1126037</vt:lpwstr>
  </property>
  <property fmtid="{D5CDD505-2E9C-101B-9397-08002B2CF9AE}" pid="5" name="&lt;Type&gt;">
    <vt:lpwstr>RE</vt:lpwstr>
  </property>
  <property fmtid="{D5CDD505-2E9C-101B-9397-08002B2CF9AE}" pid="6" name="&lt;ModelCod&gt;">
    <vt:lpwstr>\\eiciLUXpr1\pdocep$\DocEP\DOCS\General\RE\RE_Statements.dot(17/02/2016 11:46:04)</vt:lpwstr>
  </property>
  <property fmtid="{D5CDD505-2E9C-101B-9397-08002B2CF9AE}" pid="7" name="&lt;ModelTra&gt;">
    <vt:lpwstr>\\eiciLUXpr1\pdocep$\DocEP\TRANSFIL\MT\RE_Statements.MT(06/04/2017 15:36:06)</vt:lpwstr>
  </property>
  <property fmtid="{D5CDD505-2E9C-101B-9397-08002B2CF9AE}" pid="8" name="&lt;Model&gt;">
    <vt:lpwstr>RE_Statements</vt:lpwstr>
  </property>
  <property fmtid="{D5CDD505-2E9C-101B-9397-08002B2CF9AE}" pid="9" name="FooterPath">
    <vt:lpwstr>RE\1126037MT.docx</vt:lpwstr>
  </property>
  <property fmtid="{D5CDD505-2E9C-101B-9397-08002B2CF9AE}" pid="10" name="PE Number">
    <vt:lpwstr>603.766</vt:lpwstr>
  </property>
  <property fmtid="{D5CDD505-2E9C-101B-9397-08002B2CF9AE}" pid="11" name="Bookout">
    <vt:lpwstr>OK - 2017/05/17 17:43</vt:lpwstr>
  </property>
  <property fmtid="{D5CDD505-2E9C-101B-9397-08002B2CF9AE}" pid="12" name="SDLStudio">
    <vt:lpwstr/>
  </property>
  <property fmtid="{D5CDD505-2E9C-101B-9397-08002B2CF9AE}" pid="13" name="&lt;Extension&gt;">
    <vt:lpwstr>MT</vt:lpwstr>
  </property>
</Properties>
</file>