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06BC0" w:rsidRPr="00EA6DB2" w14:paraId="32407E55" w14:textId="77777777" w:rsidTr="00F26DE8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2907D2A7" w14:textId="77777777" w:rsidR="00706BC0" w:rsidRPr="00EA6DB2" w:rsidRDefault="00B40692" w:rsidP="00F26DE8">
            <w:pPr>
              <w:pStyle w:val="EPName"/>
            </w:pPr>
            <w:r w:rsidRPr="00EA6DB2">
              <w:t>Parlament Europejski</w:t>
            </w:r>
          </w:p>
          <w:p w14:paraId="2C29074B" w14:textId="77777777" w:rsidR="00706BC0" w:rsidRPr="00EA6DB2" w:rsidRDefault="00D37769" w:rsidP="00D37769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EA6DB2">
              <w:t>2014-2019</w:t>
            </w:r>
          </w:p>
        </w:tc>
        <w:tc>
          <w:tcPr>
            <w:tcW w:w="2268" w:type="dxa"/>
            <w:shd w:val="clear" w:color="auto" w:fill="auto"/>
          </w:tcPr>
          <w:p w14:paraId="3D098BAF" w14:textId="77777777" w:rsidR="00706BC0" w:rsidRPr="00EA6DB2" w:rsidRDefault="006D4CBB" w:rsidP="00F26DE8">
            <w:pPr>
              <w:pStyle w:val="EPLogo"/>
            </w:pPr>
            <w:r>
              <w:pict w14:anchorId="48C633B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pt;height:51pt">
                  <v:imagedata r:id="rId7" o:title="EP logo RGB_Mute"/>
                </v:shape>
              </w:pict>
            </w:r>
          </w:p>
        </w:tc>
      </w:tr>
    </w:tbl>
    <w:p w14:paraId="6F3B60D6" w14:textId="77777777" w:rsidR="00E53167" w:rsidRPr="00EA6DB2" w:rsidRDefault="00E53167" w:rsidP="00E53167">
      <w:pPr>
        <w:pStyle w:val="LineTop"/>
      </w:pPr>
    </w:p>
    <w:p w14:paraId="53FEE967" w14:textId="77777777" w:rsidR="00E53167" w:rsidRPr="00EA6DB2" w:rsidRDefault="00D37769" w:rsidP="00E53167">
      <w:pPr>
        <w:pStyle w:val="ZSessionDoc"/>
      </w:pPr>
      <w:r w:rsidRPr="00EA6DB2">
        <w:t>Dokument z posiedzenia</w:t>
      </w:r>
    </w:p>
    <w:p w14:paraId="754CF167" w14:textId="77777777" w:rsidR="00094DDA" w:rsidRPr="00EA6DB2" w:rsidRDefault="00094DDA" w:rsidP="00094DDA">
      <w:pPr>
        <w:pStyle w:val="LineBottom"/>
      </w:pPr>
    </w:p>
    <w:p w14:paraId="23D5E638" w14:textId="77777777" w:rsidR="00094DDA" w:rsidRPr="00EA6DB2" w:rsidRDefault="00094DDA" w:rsidP="00094DDA">
      <w:pPr>
        <w:pStyle w:val="RefProc"/>
      </w:pPr>
      <w:r w:rsidRPr="00EA6DB2">
        <w:rPr>
          <w:rStyle w:val="HideTWBExt"/>
          <w:b w:val="0"/>
          <w:noProof w:val="0"/>
        </w:rPr>
        <w:t>&lt;NoDocSe&gt;</w:t>
      </w:r>
      <w:r w:rsidRPr="00EA6DB2">
        <w:t>B8-0341/2017</w:t>
      </w:r>
      <w:r w:rsidRPr="00EA6DB2">
        <w:rPr>
          <w:rStyle w:val="HideTWBExt"/>
          <w:b w:val="0"/>
          <w:noProof w:val="0"/>
        </w:rPr>
        <w:t>&lt;/NoDocSe&gt;</w:t>
      </w:r>
    </w:p>
    <w:p w14:paraId="5FEDB81A" w14:textId="77777777" w:rsidR="00094DDA" w:rsidRPr="006D4CBB" w:rsidRDefault="00094DDA" w:rsidP="00094DDA">
      <w:pPr>
        <w:pStyle w:val="ZDate"/>
        <w:rPr>
          <w:lang w:val="fr-FR"/>
        </w:rPr>
      </w:pPr>
      <w:r w:rsidRPr="006D4CBB">
        <w:rPr>
          <w:rStyle w:val="HideTWBExt"/>
          <w:noProof w:val="0"/>
          <w:lang w:val="fr-FR"/>
        </w:rPr>
        <w:t>&lt;Date&gt;</w:t>
      </w:r>
      <w:r w:rsidRPr="006D4CBB">
        <w:rPr>
          <w:rStyle w:val="HideTWBInt"/>
          <w:lang w:val="fr-FR"/>
        </w:rPr>
        <w:t>{15/05/2017}</w:t>
      </w:r>
      <w:r w:rsidRPr="006D4CBB">
        <w:rPr>
          <w:lang w:val="fr-FR"/>
        </w:rPr>
        <w:t>15.5.2017</w:t>
      </w:r>
      <w:r w:rsidRPr="006D4CBB">
        <w:rPr>
          <w:rStyle w:val="HideTWBExt"/>
          <w:noProof w:val="0"/>
          <w:lang w:val="fr-FR"/>
        </w:rPr>
        <w:t>&lt;/Date&gt;</w:t>
      </w:r>
    </w:p>
    <w:p w14:paraId="3DBC9B68" w14:textId="77777777" w:rsidR="00814BC6" w:rsidRPr="006D4CBB" w:rsidRDefault="00814BC6">
      <w:pPr>
        <w:pStyle w:val="TypeDoc"/>
        <w:rPr>
          <w:lang w:val="fr-FR"/>
        </w:rPr>
      </w:pPr>
      <w:r w:rsidRPr="006D4CBB">
        <w:rPr>
          <w:rStyle w:val="HideTWBExt"/>
          <w:b w:val="0"/>
          <w:noProof w:val="0"/>
          <w:lang w:val="fr-FR"/>
        </w:rPr>
        <w:t>&lt;TitreType&gt;</w:t>
      </w:r>
      <w:r w:rsidRPr="006D4CBB">
        <w:rPr>
          <w:lang w:val="fr-FR"/>
        </w:rPr>
        <w:t>PROJEKT REZOLUCJI</w:t>
      </w:r>
      <w:r w:rsidRPr="006D4CBB">
        <w:rPr>
          <w:rStyle w:val="HideTWBExt"/>
          <w:b w:val="0"/>
          <w:noProof w:val="0"/>
          <w:lang w:val="fr-FR"/>
        </w:rPr>
        <w:t>&lt;/TitreType&gt;</w:t>
      </w:r>
    </w:p>
    <w:p w14:paraId="07A2B615" w14:textId="77777777" w:rsidR="00814BC6" w:rsidRPr="00EA6DB2" w:rsidRDefault="00814BC6">
      <w:pPr>
        <w:pStyle w:val="Cover12"/>
      </w:pPr>
      <w:r w:rsidRPr="00EA6DB2">
        <w:rPr>
          <w:rStyle w:val="HideTWBExt"/>
          <w:noProof w:val="0"/>
        </w:rPr>
        <w:t>&lt;TitreSuite&gt;</w:t>
      </w:r>
      <w:r w:rsidRPr="00EA6DB2">
        <w:t>złożony w następstwie oświadczenia wiceprzewodniczącej Komisji / wysokiej przedstawiciel Unii do spraw zagranicznych i polityki bezpieczeństwa</w:t>
      </w:r>
      <w:r w:rsidRPr="00EA6DB2">
        <w:rPr>
          <w:rStyle w:val="HideTWBExt"/>
          <w:noProof w:val="0"/>
        </w:rPr>
        <w:t>&lt;/TitreSuite&gt;</w:t>
      </w:r>
    </w:p>
    <w:p w14:paraId="082FFA2E" w14:textId="77777777" w:rsidR="00814BC6" w:rsidRPr="00EA6DB2" w:rsidRDefault="00814BC6">
      <w:pPr>
        <w:pStyle w:val="Cover12"/>
      </w:pPr>
      <w:r w:rsidRPr="00EA6DB2">
        <w:rPr>
          <w:rStyle w:val="HideTWBExt"/>
          <w:noProof w:val="0"/>
        </w:rPr>
        <w:t>&lt;TitreRecueil&gt;</w:t>
      </w:r>
      <w:r w:rsidRPr="00EA6DB2">
        <w:t>zgodnie z art. 123 ust. 2 Regulaminu</w:t>
      </w:r>
      <w:r w:rsidRPr="00EA6DB2">
        <w:rPr>
          <w:rStyle w:val="HideTWBExt"/>
          <w:noProof w:val="0"/>
        </w:rPr>
        <w:t>&lt;/TitreRecueil&gt;</w:t>
      </w:r>
    </w:p>
    <w:p w14:paraId="339D732E" w14:textId="77777777" w:rsidR="00C23264" w:rsidRPr="00EA6DB2" w:rsidRDefault="00C23264" w:rsidP="00C23264">
      <w:pPr>
        <w:pStyle w:val="CoverNormal"/>
      </w:pPr>
      <w:r w:rsidRPr="00EA6DB2">
        <w:rPr>
          <w:rStyle w:val="HideTWBExt"/>
          <w:noProof w:val="0"/>
        </w:rPr>
        <w:t>&lt;Titre&gt;</w:t>
      </w:r>
      <w:r w:rsidRPr="00EA6DB2">
        <w:t>w sprawie strategii UE na rzecz Syrii</w:t>
      </w:r>
      <w:r w:rsidRPr="00EA6DB2">
        <w:rPr>
          <w:rStyle w:val="HideTWBExt"/>
          <w:noProof w:val="0"/>
        </w:rPr>
        <w:t>&lt;/Titre&gt;</w:t>
      </w:r>
    </w:p>
    <w:p w14:paraId="3A587597" w14:textId="77777777" w:rsidR="00C23264" w:rsidRPr="00EA6DB2" w:rsidRDefault="00C23264" w:rsidP="00C23264">
      <w:pPr>
        <w:pStyle w:val="Cover24"/>
      </w:pPr>
      <w:r w:rsidRPr="00EA6DB2">
        <w:rPr>
          <w:rStyle w:val="HideTWBExt"/>
          <w:noProof w:val="0"/>
        </w:rPr>
        <w:t>&lt;DocRef&gt;</w:t>
      </w:r>
      <w:r w:rsidRPr="00EA6DB2">
        <w:t>(2017/2654(RSP))</w:t>
      </w:r>
      <w:r w:rsidRPr="00EA6DB2">
        <w:rPr>
          <w:rStyle w:val="HideTWBExt"/>
          <w:noProof w:val="0"/>
        </w:rPr>
        <w:t>&lt;/DocRef&gt;</w:t>
      </w:r>
    </w:p>
    <w:p w14:paraId="6EA3FF70" w14:textId="77777777" w:rsidR="002574AA" w:rsidRPr="00EA6DB2" w:rsidRDefault="002574AA" w:rsidP="002574AA">
      <w:pPr>
        <w:pStyle w:val="CoverBold"/>
      </w:pPr>
      <w:r w:rsidRPr="00EA6DB2">
        <w:rPr>
          <w:rStyle w:val="HideTWBExt"/>
          <w:b w:val="0"/>
          <w:noProof w:val="0"/>
        </w:rPr>
        <w:t>&lt;RepeatBlock-By&gt;&lt;Depute&gt;</w:t>
      </w:r>
      <w:r w:rsidRPr="00EA6DB2">
        <w:t>Barbara Lochbihler, Bodil Valero, Ernest Urtasun, Florent Marcellesi, Jordi Solé, Tamás Meszerics, Claude Turmes</w:t>
      </w:r>
      <w:r w:rsidRPr="00EA6DB2">
        <w:rPr>
          <w:rStyle w:val="HideTWBExt"/>
          <w:b w:val="0"/>
          <w:noProof w:val="0"/>
        </w:rPr>
        <w:t>&lt;/Depute&gt;</w:t>
      </w:r>
    </w:p>
    <w:p w14:paraId="248B66DF" w14:textId="77777777" w:rsidR="002574AA" w:rsidRPr="00EA6DB2" w:rsidRDefault="002574AA" w:rsidP="002574AA">
      <w:pPr>
        <w:pStyle w:val="CoverNormal"/>
      </w:pPr>
      <w:r w:rsidRPr="00EA6DB2">
        <w:rPr>
          <w:rStyle w:val="HideTWBExt"/>
          <w:noProof w:val="0"/>
        </w:rPr>
        <w:t>&lt;Commission&gt;</w:t>
      </w:r>
      <w:r w:rsidRPr="00EA6DB2">
        <w:rPr>
          <w:rStyle w:val="HideTWBInt"/>
        </w:rPr>
        <w:t>{VERT}</w:t>
      </w:r>
      <w:r w:rsidRPr="00EA6DB2">
        <w:t>w imieniu grupy Verts/ALE</w:t>
      </w:r>
      <w:r w:rsidRPr="00EA6DB2">
        <w:rPr>
          <w:rStyle w:val="HideTWBExt"/>
          <w:noProof w:val="0"/>
        </w:rPr>
        <w:t>&lt;/Commission&gt;</w:t>
      </w:r>
    </w:p>
    <w:p w14:paraId="12F6442B" w14:textId="77777777" w:rsidR="002574AA" w:rsidRPr="00EA6DB2" w:rsidRDefault="002574AA" w:rsidP="002574AA">
      <w:pPr>
        <w:pStyle w:val="CoverNormal"/>
      </w:pPr>
      <w:r w:rsidRPr="00EA6DB2">
        <w:rPr>
          <w:rStyle w:val="HideTWBExt"/>
          <w:noProof w:val="0"/>
        </w:rPr>
        <w:t>&lt;/RepeatBlock-By&gt;</w:t>
      </w:r>
    </w:p>
    <w:p w14:paraId="0CA1E038" w14:textId="77777777" w:rsidR="00814BC6" w:rsidRPr="00EA6DB2" w:rsidRDefault="00814BC6">
      <w:pPr>
        <w:pStyle w:val="Normal12Bold"/>
      </w:pPr>
      <w:r w:rsidRPr="00EA6DB2">
        <w:br w:type="page"/>
      </w:r>
      <w:r w:rsidRPr="00EA6DB2">
        <w:lastRenderedPageBreak/>
        <w:t>B8-0341/2017</w:t>
      </w:r>
    </w:p>
    <w:p w14:paraId="39237978" w14:textId="77777777" w:rsidR="00C23264" w:rsidRPr="00EA6DB2" w:rsidRDefault="00B40692" w:rsidP="00C23264">
      <w:pPr>
        <w:pStyle w:val="NormalBold"/>
      </w:pPr>
      <w:r w:rsidRPr="00EA6DB2">
        <w:t>Rezolucja Parlamentu Europejskiego w sprawie strategii UE na rzecz Syrii</w:t>
      </w:r>
    </w:p>
    <w:p w14:paraId="20F7C21E" w14:textId="77777777" w:rsidR="00C23264" w:rsidRPr="00EA6DB2" w:rsidRDefault="00B40692" w:rsidP="00C23264">
      <w:pPr>
        <w:pStyle w:val="Normal24Bold"/>
      </w:pPr>
      <w:r w:rsidRPr="00EA6DB2">
        <w:t>(2017/2654(RSP))</w:t>
      </w:r>
    </w:p>
    <w:p w14:paraId="5BDEC45A" w14:textId="77777777" w:rsidR="00814BC6" w:rsidRPr="00EA6DB2" w:rsidRDefault="00B40692">
      <w:pPr>
        <w:pStyle w:val="Normal12"/>
      </w:pPr>
      <w:r w:rsidRPr="00EA6DB2">
        <w:rPr>
          <w:i/>
        </w:rPr>
        <w:t>Parlament Europejski</w:t>
      </w:r>
      <w:r w:rsidRPr="00EA6DB2">
        <w:t>,</w:t>
      </w:r>
    </w:p>
    <w:p w14:paraId="0C1F872B" w14:textId="77777777" w:rsidR="00D37769" w:rsidRPr="00EA6DB2" w:rsidRDefault="00814BC6" w:rsidP="00D37769">
      <w:pPr>
        <w:pStyle w:val="Normal12Hanging"/>
      </w:pPr>
      <w:r w:rsidRPr="00EA6DB2">
        <w:t>–</w:t>
      </w:r>
      <w:r w:rsidRPr="00EA6DB2">
        <w:tab/>
        <w:t>uwzględniając swoje wcześniejsze rezolucje w sprawie Syrii,</w:t>
      </w:r>
    </w:p>
    <w:p w14:paraId="30912143" w14:textId="77777777" w:rsidR="00D37769" w:rsidRPr="00EA6DB2" w:rsidRDefault="00D37769" w:rsidP="00D37769">
      <w:pPr>
        <w:pStyle w:val="Normal12Hanging"/>
      </w:pPr>
      <w:r w:rsidRPr="00EA6DB2">
        <w:t>–</w:t>
      </w:r>
      <w:r w:rsidRPr="00EA6DB2">
        <w:tab/>
        <w:t>uwzględniając konwencje praw człowieka ONZ, których stroną jest Syria,</w:t>
      </w:r>
    </w:p>
    <w:p w14:paraId="4AB5DA5C" w14:textId="77777777" w:rsidR="00D37769" w:rsidRPr="00EA6DB2" w:rsidRDefault="00D37769" w:rsidP="00D37769">
      <w:pPr>
        <w:pStyle w:val="Normal12Hanging"/>
      </w:pPr>
      <w:r w:rsidRPr="00EA6DB2">
        <w:t>–</w:t>
      </w:r>
      <w:r w:rsidRPr="00EA6DB2">
        <w:tab/>
        <w:t>uwzględniając konwencję genewską z 1949 r. i protokoły dodatkowe do niej,</w:t>
      </w:r>
    </w:p>
    <w:p w14:paraId="3D86DF27" w14:textId="77777777" w:rsidR="00D37769" w:rsidRPr="00EA6DB2" w:rsidRDefault="00D37769" w:rsidP="00D37769">
      <w:pPr>
        <w:pStyle w:val="Normal12Hanging"/>
      </w:pPr>
      <w:r w:rsidRPr="00EA6DB2">
        <w:t>–</w:t>
      </w:r>
      <w:r w:rsidRPr="00EA6DB2">
        <w:tab/>
        <w:t>uwzględniając komunikat z Genewy z 2012 r.,</w:t>
      </w:r>
    </w:p>
    <w:p w14:paraId="7A2BABF0" w14:textId="77777777" w:rsidR="00D37769" w:rsidRPr="00EA6DB2" w:rsidRDefault="00D37769" w:rsidP="00D37769">
      <w:pPr>
        <w:pStyle w:val="Normal12Hanging"/>
      </w:pPr>
      <w:r w:rsidRPr="00EA6DB2">
        <w:t>–</w:t>
      </w:r>
      <w:r w:rsidRPr="00EA6DB2">
        <w:tab/>
        <w:t>uwzględniając rezolucje Rady Bezpieczeństwa ONZ w sprawie Syrii,</w:t>
      </w:r>
    </w:p>
    <w:p w14:paraId="78700F0B" w14:textId="77777777" w:rsidR="00D37769" w:rsidRPr="00EA6DB2" w:rsidRDefault="00D37769" w:rsidP="00D37769">
      <w:pPr>
        <w:pStyle w:val="Normal12Hanging"/>
      </w:pPr>
      <w:r w:rsidRPr="00EA6DB2">
        <w:t>–</w:t>
      </w:r>
      <w:r w:rsidRPr="00EA6DB2">
        <w:tab/>
        <w:t>uwzględniając konkluzje Rady w sprawie Syrii, w tym konkluzje z dnia 3 kwietnia 2017 r., w których przyjęto strategię UE na rzecz Syrii, w tym wspólny komunikat wiceprzewodniczącej Komisji / wysokiej przedstawiciel Unii do spraw zagranicznych i polityki bezpieczeństwa oraz Komisji z dnia 14 kwietnia 2017 r. zatytułowany „Elementy strategii UE na rzecz Syrii”,</w:t>
      </w:r>
    </w:p>
    <w:p w14:paraId="7DFE18BF" w14:textId="77777777" w:rsidR="00D37769" w:rsidRPr="00EA6DB2" w:rsidRDefault="00D37769" w:rsidP="00D37769">
      <w:pPr>
        <w:pStyle w:val="Normal12Hanging"/>
      </w:pPr>
      <w:r w:rsidRPr="00EA6DB2">
        <w:t>–</w:t>
      </w:r>
      <w:r w:rsidRPr="00EA6DB2">
        <w:tab/>
        <w:t>uwzględniając oświadczenia wiceprzewodniczącej Komisji / wysokiej przedstawiciel Unii do spraw zagranicznych i polityki bezpieczeństwa dotyczące Syrii,</w:t>
      </w:r>
    </w:p>
    <w:p w14:paraId="18084C0E" w14:textId="77777777" w:rsidR="00D37769" w:rsidRPr="00EA6DB2" w:rsidRDefault="00D37769" w:rsidP="00D37769">
      <w:pPr>
        <w:pStyle w:val="Normal12Hanging"/>
      </w:pPr>
      <w:r w:rsidRPr="00EA6DB2">
        <w:t>–</w:t>
      </w:r>
      <w:r w:rsidRPr="00EA6DB2">
        <w:tab/>
        <w:t>uwzględniając oświadczenie współprzewodniczących konferencji brukselskiej poświęconej wspieraniu przyszłości Syrii i regionu, która odbyła się w dniach 4 i 5 kwietnia 2017 r.,</w:t>
      </w:r>
    </w:p>
    <w:p w14:paraId="115A6186" w14:textId="77777777" w:rsidR="00814BC6" w:rsidRPr="00EA6DB2" w:rsidRDefault="00D37769" w:rsidP="00D37769">
      <w:pPr>
        <w:pStyle w:val="Normal12Hanging"/>
      </w:pPr>
      <w:r w:rsidRPr="00EA6DB2">
        <w:t>–</w:t>
      </w:r>
      <w:r w:rsidRPr="00EA6DB2">
        <w:tab/>
        <w:t xml:space="preserve">uwzględniając sprawozdania Niezależnej Międzynarodowej Komisji Dochodzeniowej w sprawie Syrii powołanej przez Radę Praw Człowieka ONZ oraz rezolucje Rady Praw Człowieka ONZ w sprawie   </w:t>
      </w:r>
      <w:r w:rsidRPr="00EA6DB2">
        <w:cr/>
      </w:r>
      <w:r w:rsidRPr="00EA6DB2">
        <w:br/>
        <w:t xml:space="preserve">Syryjskiej Republiki Arabskiej, </w:t>
      </w:r>
    </w:p>
    <w:p w14:paraId="535BFA24" w14:textId="77777777" w:rsidR="00814BC6" w:rsidRPr="00EA6DB2" w:rsidRDefault="00814BC6">
      <w:pPr>
        <w:pStyle w:val="Normal12Hanging"/>
      </w:pPr>
      <w:r w:rsidRPr="00EA6DB2">
        <w:t>–</w:t>
      </w:r>
      <w:r w:rsidRPr="00EA6DB2">
        <w:tab/>
        <w:t>uwzględniając art. 123 ust. 2 Regulaminu,</w:t>
      </w:r>
    </w:p>
    <w:p w14:paraId="0A981438" w14:textId="77777777" w:rsidR="00D37769" w:rsidRPr="00EA6DB2" w:rsidRDefault="00814BC6" w:rsidP="00D37769">
      <w:pPr>
        <w:pStyle w:val="Normal12Hanging"/>
      </w:pPr>
      <w:r w:rsidRPr="00EA6DB2">
        <w:t>A.</w:t>
      </w:r>
      <w:r w:rsidRPr="00EA6DB2">
        <w:tab/>
        <w:t>mając na uwadze, że wojna w Syrii wywołała jeden z najpoważniejszych kryzysów humanitarnych na świecie od czasów II wojny światowej i wciąż ma katastrofalne skutki dla obywateli tego kraju; mając na uwadze, że ten konflikt, podsycany i pogłębiany przez podmioty zewnętrzne, ma coraz bardziej destabilizujący wpływ na cały region;</w:t>
      </w:r>
    </w:p>
    <w:p w14:paraId="074C535B" w14:textId="77777777" w:rsidR="00D37769" w:rsidRPr="00EA6DB2" w:rsidRDefault="00D37769" w:rsidP="00D37769">
      <w:pPr>
        <w:pStyle w:val="Normal12Hanging"/>
      </w:pPr>
      <w:r w:rsidRPr="00EA6DB2">
        <w:t>B.</w:t>
      </w:r>
      <w:r w:rsidRPr="00EA6DB2">
        <w:tab/>
        <w:t xml:space="preserve">mając na uwadze, że od rozpoczęcia konfliktu w Syrii w 2011 r. życie straciło ponad 400 tys. osób, w większości cywilów; mając na uwadze, że 13,5 mln osób, tj. niemal trzy czwarte pozostałej populacji, w tym ponad 6 mln osób wysiedlonych i ponad 5 mln osób znajdujących się na oblężonych i trudno dostępnych obszarach, pilnie potrzebuje pomocy humanitarnej; mając na uwadze, że ponad 5 mln Syryjczyków było zmuszonych do poszukiwania schronienia za granicą; </w:t>
      </w:r>
    </w:p>
    <w:p w14:paraId="16268794" w14:textId="77777777" w:rsidR="00D37769" w:rsidRPr="00EA6DB2" w:rsidRDefault="00D37769" w:rsidP="00D37769">
      <w:pPr>
        <w:pStyle w:val="Normal12Hanging"/>
      </w:pPr>
      <w:r w:rsidRPr="00EA6DB2">
        <w:lastRenderedPageBreak/>
        <w:t>C.</w:t>
      </w:r>
      <w:r w:rsidRPr="00EA6DB2">
        <w:tab/>
        <w:t>mając na uwadze, że na mocy prawa międzynarodowego walczące strony są zobowiązane do podjęcia odpowiednich środków, by chronić ludność cywilną i infrastrukturę cywilną; mając na uwadze, że wszystkie strony konfliktu, a szczególności reżim syryjski i jego sojusznicy, dopuściły się masowych i wielokrotnych naruszeń praw człowieka oraz międzynarodowego prawa humanitarnego; mając na uwadze, że komisja dochodzeniowa ONZ, Sekretarz Generalny ONZ i Wysoki Komisarz ONZ ds. Praw Człowieka stwierdzili, że w Syrii popełniano zbrodnie przeciwko ludzkości i zbrodnie wojenne;</w:t>
      </w:r>
    </w:p>
    <w:p w14:paraId="5F2BF11C" w14:textId="77777777" w:rsidR="00D37769" w:rsidRPr="00EA6DB2" w:rsidRDefault="00D37769" w:rsidP="00D37769">
      <w:pPr>
        <w:pStyle w:val="Normal12Hanging"/>
      </w:pPr>
      <w:r w:rsidRPr="00EA6DB2">
        <w:t>D.</w:t>
      </w:r>
      <w:r w:rsidRPr="00EA6DB2">
        <w:tab/>
        <w:t xml:space="preserve">mając na uwadze, że przemoc, jakiej się dopuszczano podczas konfliktu syryjskiego, obejmowała egzekucje pozasądowe, tortury i brutalne traktowanie, wymuszone zaginięcia, masowe i arbitralne aresztowania, ukierunkowane masowe ataki na ludność cywilną, karanie zbiorowe, ataki na personel medyczny, a także odmowę zaopatrzenia w żywność i wodę; mając na uwadze, że według doniesień reżim al-Asada jest odpowiedzialny za egzekucje przez powieszenie, akty tortur i egzekucje pozasądowe na masową skalę w ośrodkach detencyjnych; mając na uwadze, że przestępstwa te do tej pory uchodziły sprawcom bezkarnie; mając na uwadze, że głodzenie osób cywilnych poprzez oblężenie zaludnionych obszarów, jako taktyka wojenna stosowana przez reżim al-Asada i uzbrojone ugrupowania opozycyjne, stanowi wyraźne naruszenie międzynarodowego prawa humanitarnego; </w:t>
      </w:r>
    </w:p>
    <w:p w14:paraId="33CDAFCA" w14:textId="77777777" w:rsidR="00D37769" w:rsidRPr="00EA6DB2" w:rsidRDefault="00D37769" w:rsidP="00D37769">
      <w:pPr>
        <w:pStyle w:val="Normal12Hanging"/>
      </w:pPr>
      <w:r w:rsidRPr="00EA6DB2">
        <w:t>E.</w:t>
      </w:r>
      <w:r w:rsidRPr="00EA6DB2">
        <w:tab/>
        <w:t xml:space="preserve">mając na uwadze, że ryzyko eskalacji konfliktu w regionie wciąż pozostaje wysokie z powodu licznych interwencji ze strony szeregu podmiotów regionalnych, w tym Turcji, która niedawno przeprowadziła nową serię nalotów na bojowników kurdyjskich; </w:t>
      </w:r>
    </w:p>
    <w:p w14:paraId="74DDB272" w14:textId="77777777" w:rsidR="00D37769" w:rsidRPr="00EA6DB2" w:rsidRDefault="00D37769" w:rsidP="00D37769">
      <w:pPr>
        <w:pStyle w:val="Normal12Hanging"/>
      </w:pPr>
      <w:r w:rsidRPr="00EA6DB2">
        <w:t>F.</w:t>
      </w:r>
      <w:r w:rsidRPr="00EA6DB2">
        <w:tab/>
        <w:t>mając na uwadze, że według doniesień siły al-Asada użyły środków chemicznych w celu wyrządzenia szkód i uśmiercenia ludności cywilnej; mając na uwadze, że ostatni przypadek użycia broni masowego rażenia przeciwko ludności cywilnej miał miejsce w dniu 4 kwietnia 2017 r. w Chan Szajchun w prowincji Idlib, gdzie śmierć poniosło co najmniej 70 cywilów, w tym wiele dzieci, a setki zostało rannych; mając na uwadze, że w dniu 12 kwietnia 2017 r. Rosja zgłosiła weto wobec rezolucji Rady Bezpieczeństwa ONZ potępiającej domniemane użycie zabronionej broni chemicznej w Syrii i wzywającej syryjski rząd do współpracy z organami prowadzącymi dochodzenie w sprawie tego incydentu;</w:t>
      </w:r>
    </w:p>
    <w:p w14:paraId="7813A5FD" w14:textId="77777777" w:rsidR="00D37769" w:rsidRPr="00EA6DB2" w:rsidRDefault="00D37769" w:rsidP="00D37769">
      <w:pPr>
        <w:pStyle w:val="Normal12Hanging"/>
      </w:pPr>
      <w:r w:rsidRPr="00EA6DB2">
        <w:t>G.</w:t>
      </w:r>
      <w:r w:rsidRPr="00EA6DB2">
        <w:tab/>
        <w:t xml:space="preserve">mając na uwadze, że sprawiedliwość, praworządność i walka z bezkarnością to zasadnicze elementy stanowiące podstawę wysiłków na rzecz pokoju i rozwiązywania konfliktów; </w:t>
      </w:r>
    </w:p>
    <w:p w14:paraId="24D3CE60" w14:textId="77777777" w:rsidR="00D37769" w:rsidRPr="00EA6DB2" w:rsidRDefault="00D37769" w:rsidP="00D37769">
      <w:pPr>
        <w:pStyle w:val="Normal12Hanging"/>
      </w:pPr>
      <w:r w:rsidRPr="00EA6DB2">
        <w:t>H.</w:t>
      </w:r>
      <w:r w:rsidRPr="00EA6DB2">
        <w:tab/>
        <w:t xml:space="preserve">mając na uwadze, że w dniu 4 maja 2017 r. Rosja, Iran i Turcja podpisały w Astanie (Kazachstan) umowę ustanawiającą cztery strefy deeskalacji konfliktu; mając na uwadze, że trzy państwa sygnatariusze mają występować w charakterze gwarantów sześciomiesięcznego odnawialnego rozejmu, w tym za pośrednictwem uzbrojonych sił monitorujących na miejscu; mając na uwadze, że porozumienie to przewiduje zakończenie wszystkich walk prowadzonych przez reżim al-Asada w tych strefach i niezakłócony dostęp organizacji humanitarnych do obszarów zajętych przez rebeliantów; mając na uwadze, że w tym tygodniu w Genewie rozpoczyna się kolejna runda rozmów prowadzonych pod przewodnictwem ONZ, a następną rundę rozmów prowadzonych pod przewodnictwem Rosji zaplanowano na połowę lipca w </w:t>
      </w:r>
      <w:r w:rsidRPr="00EA6DB2">
        <w:lastRenderedPageBreak/>
        <w:t>Kazachstanie;</w:t>
      </w:r>
    </w:p>
    <w:p w14:paraId="6CA10F44" w14:textId="77777777" w:rsidR="00D37769" w:rsidRPr="00EA6DB2" w:rsidRDefault="00D37769" w:rsidP="00D37769">
      <w:pPr>
        <w:pStyle w:val="Normal12Hanging"/>
      </w:pPr>
      <w:r w:rsidRPr="00EA6DB2">
        <w:t>I.</w:t>
      </w:r>
      <w:r w:rsidRPr="00EA6DB2">
        <w:tab/>
        <w:t xml:space="preserve">mając na uwadze, że w dniu 3 kwietnia 2017 r. Rada przyjęła strategię UE na rzecz Syrii, która obejmuje wspólny komunikat wysokiej przedstawiciel / wiceprzewodniczącej Komisji oraz Komisji pt.: „Elementy strategii UE na rzecz Syrii” oraz związane z nią konkluzje Rady; mając na uwadze, że strategia ta określa sześć kluczowych obszarów zainteresowania, a mianowicie: zakończenie wojny dzięki prawdziwym przemianom politycznym; promowanie konstruktywnych i pluralistycznych przemian;  reagowanie na potrzeby humanitarne najbardziej poszkodowanych Syryjczyków; promowanie demokracji i praw człowieka; dążenie do rozliczenia za zbrodnie wojenne oraz wzmacnianie odporności ludności syryjskiej i społeczeństwa syryjskiego; </w:t>
      </w:r>
    </w:p>
    <w:p w14:paraId="79D38E19" w14:textId="77777777" w:rsidR="00D37769" w:rsidRPr="00EA6DB2" w:rsidRDefault="00D37769" w:rsidP="00D37769">
      <w:pPr>
        <w:pStyle w:val="Normal12Hanging"/>
      </w:pPr>
      <w:r w:rsidRPr="00EA6DB2">
        <w:t>J.</w:t>
      </w:r>
      <w:r w:rsidRPr="00EA6DB2">
        <w:tab/>
        <w:t xml:space="preserve">mając na uwadze, że w dniu 5 kwietnia 2017 r. UE współprzewodniczyła konferencji poświęconej wspieraniu przyszłości Syrii i regionu, w której udział wzięli przedstawiciele z ponad 70 krajów i organizacji międzynarodowych oraz międzynarodowego i syryjskiego społeczeństwa obywatelskiego; mając na uwadze, że konferencja ta uzgodniła kompleksowe podejście do kryzysu w Syrii; </w:t>
      </w:r>
    </w:p>
    <w:p w14:paraId="43FF5296" w14:textId="77777777" w:rsidR="00814BC6" w:rsidRPr="00EA6DB2" w:rsidRDefault="00D37769" w:rsidP="00D37769">
      <w:pPr>
        <w:pStyle w:val="Normal12Hanging"/>
      </w:pPr>
      <w:r w:rsidRPr="00EA6DB2">
        <w:t>K.</w:t>
      </w:r>
      <w:r w:rsidRPr="00EA6DB2">
        <w:tab/>
        <w:t xml:space="preserve">mając na uwadze, że UE jest największym darczyńcą pomocy humanitarnej w Syrii i w krajach ościennych; od początku kryzysu Unia przeznaczyła na ten cel ponad 9 mld EUR; </w:t>
      </w:r>
    </w:p>
    <w:p w14:paraId="351027EC" w14:textId="77777777" w:rsidR="00D37769" w:rsidRPr="00EA6DB2" w:rsidRDefault="00814BC6" w:rsidP="00D37769">
      <w:pPr>
        <w:pStyle w:val="Normal12Hanging"/>
      </w:pPr>
      <w:r w:rsidRPr="00EA6DB2">
        <w:t>1.</w:t>
      </w:r>
      <w:r w:rsidRPr="00EA6DB2">
        <w:tab/>
        <w:t xml:space="preserve">ubolewa, że po sześciu latach przerażającej przemocy i ludzkiego cierpienia nadal brak postępów jeśli chodzi o polityczne rozwiązanie konfliktu syryjskiego; przypomina, że nie może być mowy o trwałym zbrojnym rozwiązaniu konfliktu i wzywa do natychmiastowego zaprzestania działań wojennych, wszystkich oblężeń, zapewnienia pełnego i nieograniczonego dostępu do pomocy humanitarnej w całym kraju i do ochrony pracowników organizacji humanitarnych przez wszystkie strony; </w:t>
      </w:r>
    </w:p>
    <w:p w14:paraId="47D863FF" w14:textId="77777777" w:rsidR="00D37769" w:rsidRPr="00EA6DB2" w:rsidRDefault="00D37769" w:rsidP="00D37769">
      <w:pPr>
        <w:pStyle w:val="Normal12Hanging"/>
      </w:pPr>
      <w:r w:rsidRPr="00EA6DB2">
        <w:t>2.</w:t>
      </w:r>
      <w:r w:rsidRPr="00EA6DB2">
        <w:tab/>
        <w:t xml:space="preserve">zauważa z ulgą wymierne osłabienie walk w dużej części kraju od czasu zakończenia w grudniu 2016 r. działań wojennych podsycanych przez Rosję i Turcję; wyraża ostrożny optymizm z powodu niedawnego porozumienia z Astany dotyczącego ustanowienia stref deeskalacji konfliktu; wzywa trzech poręczycieli porozumienia z Astany do zapewnienia przestrzegania zawieszenia broni; wzywa do ustanowienia w oparciu o rozdział VII mandatu ONZ, który powinien doprowadzić do silnej obecności w regionie oenzetowskich błękitnych hełmów w celu monitorowania sytuacji w strefach deeskalacji i wokół tych stref; </w:t>
      </w:r>
    </w:p>
    <w:p w14:paraId="5381109E" w14:textId="77777777" w:rsidR="00D37769" w:rsidRPr="00EA6DB2" w:rsidRDefault="00D37769" w:rsidP="00D37769">
      <w:pPr>
        <w:pStyle w:val="Normal12Hanging"/>
      </w:pPr>
      <w:r w:rsidRPr="00EA6DB2">
        <w:t>3.</w:t>
      </w:r>
      <w:r w:rsidRPr="00EA6DB2">
        <w:tab/>
        <w:t xml:space="preserve">wyraża nadzieję, że inicjatywy dyplomatyczne podejmowane przez Rosję posłużą do wzmacniania międzynarodowych wysiłków na rzecz wypracowania rozwiązania politycznego; potwierdza w tym kontekście stały nadrzędny charakter prowadzonego przez ONZ procesu genewskiego oraz popiera wysiłki specjalnego wysłannika ONZ Staffana de Mistury na rzecz rzeczywistych przemian politycznych zgodnie z rezolucją Rady Bezpieczeństwa ONZ nr 2254, wynegocjowanych przez strony konfliktu i przy wsparciu kluczowych podmiotów międzynarodowych i regionalnych; podkreśla znaczenie włączenia wszystkich mniejszości etnicznych i religijnych do rozmów o przyszłości Syrii i strukturze zarządzania; </w:t>
      </w:r>
    </w:p>
    <w:p w14:paraId="19675538" w14:textId="77777777" w:rsidR="00D37769" w:rsidRPr="00EA6DB2" w:rsidRDefault="00D37769" w:rsidP="00D37769">
      <w:pPr>
        <w:pStyle w:val="Normal12Hanging"/>
      </w:pPr>
      <w:r w:rsidRPr="00EA6DB2">
        <w:t>4.</w:t>
      </w:r>
      <w:r w:rsidRPr="00EA6DB2">
        <w:tab/>
        <w:t xml:space="preserve">po raz kolejny potępia w najostrzejszych słowach okrucieństwa i powszechne przypadki </w:t>
      </w:r>
      <w:r w:rsidRPr="00EA6DB2">
        <w:lastRenderedPageBreak/>
        <w:t>łamania praw człowieka i międzynarodowego prawa humanitarnego przez siły reżimu al-Asada przy wsparciu jego sojuszników, a także przez uzbrojone podmioty niepaństwowe, w szczególności ISIS/Daisz i Dżabhat Fatah an-Szam;</w:t>
      </w:r>
    </w:p>
    <w:p w14:paraId="2C3CF453" w14:textId="77777777" w:rsidR="00D37769" w:rsidRPr="00EA6DB2" w:rsidRDefault="00D37769" w:rsidP="00D37769">
      <w:pPr>
        <w:pStyle w:val="Normal12Hanging"/>
      </w:pPr>
      <w:r w:rsidRPr="00EA6DB2">
        <w:t>5.</w:t>
      </w:r>
      <w:r w:rsidRPr="00EA6DB2">
        <w:tab/>
        <w:t xml:space="preserve">potępia potworny atak chemiczny w Chan Szajchun na południu prowincji Idlib, który miał miejsce w dniu 4 kwietnia 2017 r. i który był ostatnim z serii ataków chemicznych przeprowadzonych w trakcie konfliktu syryjskiego; z zadowoleniem przyjmuje śledztwo prowadzone przez Organizację ds. Zakazu Broni Chemicznej (OPCW) oraz podkreśla konieczność pociągnięcia sprawców do odpowiedzialności; </w:t>
      </w:r>
    </w:p>
    <w:p w14:paraId="3975E9B9" w14:textId="77777777" w:rsidR="00D37769" w:rsidRPr="00EA6DB2" w:rsidRDefault="00D37769" w:rsidP="00D37769">
      <w:pPr>
        <w:pStyle w:val="Normal12Hanging"/>
      </w:pPr>
      <w:r w:rsidRPr="00EA6DB2">
        <w:t>6.</w:t>
      </w:r>
      <w:r w:rsidRPr="00EA6DB2">
        <w:tab/>
        <w:t xml:space="preserve">z zadowoleniem przyjmuje przyjęcie strategii UE na rzecz Syrii, która daje solidną i kompleksową podstawę do wzmożonych działań UE zarówno w fazie konfliktu, jak i po jego zakończeniu; </w:t>
      </w:r>
    </w:p>
    <w:p w14:paraId="7B942250" w14:textId="77777777" w:rsidR="00D37769" w:rsidRPr="00EA6DB2" w:rsidRDefault="00D37769" w:rsidP="00D37769">
      <w:pPr>
        <w:pStyle w:val="Normal12Hanging"/>
      </w:pPr>
      <w:r w:rsidRPr="00EA6DB2">
        <w:t>7.</w:t>
      </w:r>
      <w:r w:rsidRPr="00EA6DB2">
        <w:tab/>
        <w:t xml:space="preserve">podkreśla jednak, że strategia UE na rzecz Syrii nie powinna uniemożliwiać UE stosowania w perspektywie krótko- i średnioterminowej pragmatycznego i elastycznego podejścia pozwalającego na utrzymanie jej roli dyplomatycznej i możliwości wywierania nacisku, z myślą o kształtowaniu ostatecznych wyników rozmów politycznych; </w:t>
      </w:r>
    </w:p>
    <w:p w14:paraId="7CF55B88" w14:textId="77777777" w:rsidR="00D37769" w:rsidRPr="00EA6DB2" w:rsidRDefault="00D37769" w:rsidP="00D37769">
      <w:pPr>
        <w:pStyle w:val="Normal12Hanging"/>
      </w:pPr>
      <w:r w:rsidRPr="00EA6DB2">
        <w:t>8.</w:t>
      </w:r>
      <w:r w:rsidRPr="00EA6DB2">
        <w:tab/>
        <w:t xml:space="preserve">w pełni popiera współpracę </w:t>
      </w:r>
      <w:bookmarkStart w:id="0" w:name="_GoBack"/>
      <w:bookmarkEnd w:id="0"/>
      <w:commentRangeStart w:id="1"/>
      <w:commentRangeEnd w:id="1"/>
      <w:r w:rsidRPr="00EA6DB2">
        <w:t>wysokiej przedstawiciel / wiceprzewodniczącej Komisji z podmiotami regionalnymi i lokalnymi biorącymi udział w konflikcie oraz próby znalezienia wspólnej płaszczyzny dla pokoju, aby móc rozpocząć dyskusje na temat przyszłości Syrii;</w:t>
      </w:r>
    </w:p>
    <w:p w14:paraId="6BC57600" w14:textId="77777777" w:rsidR="00D37769" w:rsidRPr="00EA6DB2" w:rsidRDefault="00D37769" w:rsidP="00D37769">
      <w:pPr>
        <w:pStyle w:val="Normal12Hanging"/>
      </w:pPr>
      <w:r w:rsidRPr="00EA6DB2">
        <w:t>9.</w:t>
      </w:r>
      <w:r w:rsidRPr="00EA6DB2">
        <w:tab/>
        <w:t>z zadowoleniem przyjmuje nacisk położony w unijnej strategii na rzecz Syrii na wspieranie odporności ludności syryjskiej i społeczeństwa syryjskiego; wzywa wysoką przedstawiciel / wiceprzewodniczącą Komisji i państwa członkowskie, by podwoiły wysiłki na rzecz budowania w miarę możliwości na wyzwolonych obszarach w Syrii, a także wśród syryjskich uchodźców żyjących na wygnaniu w regionie lub w Europie potencjału obywateli i społeczeństwa obywatelskiego Syrii, w tym z udziałem i za pośrednictwem podmiotów wspierających prawa człowieka, równość (w tym równouprawnienie płci i prawa mniejszości), demokrację i upodmiotowienie; podkreśla, że takie budowanie zdolności powinno wspierać Syryjczyków w kierowaniu przemianami (w takich obszarach jak regulacja mediów, decentralizacja, zarządzanie gminami czy uchwalenie konstytucji), z należytym uwzględnieniem potrzeb i roli kobiet;</w:t>
      </w:r>
    </w:p>
    <w:p w14:paraId="114CD91C" w14:textId="77777777" w:rsidR="00D37769" w:rsidRPr="00EA6DB2" w:rsidRDefault="00D37769" w:rsidP="00D37769">
      <w:pPr>
        <w:pStyle w:val="Normal12Hanging"/>
      </w:pPr>
      <w:r w:rsidRPr="00EA6DB2">
        <w:t>10.</w:t>
      </w:r>
      <w:r w:rsidRPr="00EA6DB2">
        <w:tab/>
        <w:t xml:space="preserve">z zadowoleniem przyjmuje konkluzje konferencji brukselskiej poświęconej wspieraniu przyszłości Syrii i regionu, która odbyła się w dniach 4 i 5 kwietnia 2017 r., podkreśla, że potrzeby humanitarne nadal będą miały kluczowe znaczenie w nadchodzących latach oraz wzywa UE i jej państwa członkowskie, by zobowiązały się do długoterminowego zaangażowania, aby odpowiedzieć na potrzeby humanitarne i w zakresie odbudowy Syrii; </w:t>
      </w:r>
    </w:p>
    <w:p w14:paraId="4C31CB6E" w14:textId="77777777" w:rsidR="00D37769" w:rsidRPr="00EA6DB2" w:rsidRDefault="00D37769" w:rsidP="00D37769">
      <w:pPr>
        <w:pStyle w:val="Normal12Hanging"/>
      </w:pPr>
      <w:r w:rsidRPr="00EA6DB2">
        <w:t>11.</w:t>
      </w:r>
      <w:r w:rsidRPr="00EA6DB2">
        <w:tab/>
        <w:t xml:space="preserve">z zadowoleniem przyjmuje zobowiązanie UE do bieżącej pomocy humanitarnej dla krajów sąsiadujących z Syrią, które przyjmują miliony uchodźców; wzywa jednak państwa członkowskie do dużo większego zaangażowania w ramach podziału odpowiedzialności, co pozwoli uchodźcom uciekającym z obszarów w Syrii ogarniętych wojną znaleźć ochronę w państwach, które nie leżą w bezpośrednim </w:t>
      </w:r>
      <w:r w:rsidRPr="00EA6DB2">
        <w:lastRenderedPageBreak/>
        <w:t xml:space="preserve">sąsiedztwie, za pomocą przesiedlenia, programów humanitarnego przyjmowania uchodźców, uproszczonych procedur łączenia rodzin lub bardziej elastycznych przepisów wizowych; </w:t>
      </w:r>
    </w:p>
    <w:p w14:paraId="2D562702" w14:textId="77777777" w:rsidR="00D37769" w:rsidRPr="00EA6DB2" w:rsidRDefault="00D37769" w:rsidP="00D37769">
      <w:pPr>
        <w:pStyle w:val="Normal12Hanging"/>
      </w:pPr>
      <w:r w:rsidRPr="00EA6DB2">
        <w:t>12.</w:t>
      </w:r>
      <w:r w:rsidRPr="00EA6DB2">
        <w:tab/>
        <w:t xml:space="preserve">z zadowoleniem przyjmuje promowanie rozliczania za zbrodnie wojenne jako jeden z kluczowych obszarów strategii UE na rzecz Syrii; podkreśla jednak, że należy podjąć dalsze działania w tym obszarze, w tym poprzez przyjęcie wspólnej polityki UE w sprawie skoordynowanej strategii dotyczącej odpowiedzialności za zbrodnie wojenne popełnione w Syrii, i wzywa wysoką przedstawiciel / wiceprzewodniczącą Komisji do odegrania aktywnej roli w tej kwestii; </w:t>
      </w:r>
    </w:p>
    <w:p w14:paraId="5D234EB8" w14:textId="77777777" w:rsidR="00D37769" w:rsidRPr="00EA6DB2" w:rsidRDefault="00D37769" w:rsidP="00D37769">
      <w:pPr>
        <w:pStyle w:val="Normal12Hanging"/>
      </w:pPr>
      <w:r w:rsidRPr="00EA6DB2">
        <w:t>13.</w:t>
      </w:r>
      <w:r w:rsidRPr="00EA6DB2">
        <w:tab/>
        <w:t xml:space="preserve">ponawia swój apel do UE i jej państw członkowskich, by rozważyły – w ścisłej koordynacji z państwami o podobnym stanowisku – utworzenie trybunału do spraw zbrodni popełnionych w Syrii, do czasu pomyślnego odwołania się do Międzynarodowego Trybunału Karnego; wzywa państwa członkowskie do poczynienia wszelkich niezbędnych kroków w celu pociągnięcia domniemanych sprawców do odpowiedzialności, szczególnie dzięki zastosowaniu zasady represji wszechświatowej oraz za pomocą dochodzeń i ścigania obywateli UE odpowiedzialnych za zbrodnie wojenne i akty okrucieństwa w Syrii; </w:t>
      </w:r>
    </w:p>
    <w:p w14:paraId="2E8FBE43" w14:textId="77777777" w:rsidR="00D37769" w:rsidRPr="00EA6DB2" w:rsidRDefault="00D37769" w:rsidP="00D37769">
      <w:pPr>
        <w:pStyle w:val="Normal12Hanging"/>
      </w:pPr>
      <w:r w:rsidRPr="00EA6DB2">
        <w:t>14.</w:t>
      </w:r>
      <w:r w:rsidRPr="00EA6DB2">
        <w:tab/>
        <w:t xml:space="preserve">wzywa państwa członkowskie i ich sojuszników, w szczególności USA, do zapewnienia przejrzystości, rozliczalności i pełnego przestrzegania międzynarodowego prawa humanitarnego i praw człowieka w odniesieniu do ich udziału w wysiłkach międzynarodowej koalicji oraz w ich współpracy wojskowej ze stronami konfliktu; </w:t>
      </w:r>
    </w:p>
    <w:p w14:paraId="5B82ECE0" w14:textId="77777777" w:rsidR="00814BC6" w:rsidRPr="00EA6DB2" w:rsidRDefault="00D37769" w:rsidP="00D37769">
      <w:pPr>
        <w:pStyle w:val="Normal12Hanging"/>
      </w:pPr>
      <w:r w:rsidRPr="00EA6DB2">
        <w:t>15.</w:t>
      </w:r>
      <w:r w:rsidRPr="00EA6DB2">
        <w:tab/>
        <w:t>zobowiązuje swojego przewodniczącego do przekazania niniejszej rezolucji Radzie, Komisji, wiceprzewodniczącej Komisji / wysokiej przedstawiciel Unii do spraw zagranicznych i polityki bezpieczeństwa, rządom i parlamentom państw członkowskich, Sekretarzowi Generalnemu Organizacji Narodów Zjednoczonych, specjalnemu wysłannikowi ONZ i Ligi Państw Arabskich do Syrii, członkom Międzynarodowej Grupy Wsparcia Syrii oraz stronom zaangażowanym w konflikt w Syrii.</w:t>
      </w:r>
    </w:p>
    <w:sectPr w:rsidR="00814BC6" w:rsidRPr="00EA6DB2" w:rsidSect="00EA6D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endnotePr>
        <w:numFmt w:val="decimal"/>
      </w:endnotePr>
      <w:pgSz w:w="11906" w:h="16838"/>
      <w:pgMar w:top="1134" w:right="1418" w:bottom="1418" w:left="1418" w:header="567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052C13" w14:textId="77777777" w:rsidR="00B40692" w:rsidRPr="00EA6DB2" w:rsidRDefault="00B40692">
      <w:r w:rsidRPr="00EA6DB2">
        <w:separator/>
      </w:r>
    </w:p>
  </w:endnote>
  <w:endnote w:type="continuationSeparator" w:id="0">
    <w:p w14:paraId="1A2785ED" w14:textId="77777777" w:rsidR="00B40692" w:rsidRPr="00EA6DB2" w:rsidRDefault="00B40692">
      <w:r w:rsidRPr="00EA6DB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1194B8" w14:textId="77777777" w:rsidR="00EA6DB2" w:rsidRPr="00EA6DB2" w:rsidRDefault="00EA6DB2" w:rsidP="00EA6DB2">
    <w:pPr>
      <w:pStyle w:val="Footer"/>
    </w:pPr>
    <w:r w:rsidRPr="00EA6DB2">
      <w:t>PE</w:t>
    </w:r>
    <w:r w:rsidRPr="00EA6DB2">
      <w:rPr>
        <w:rStyle w:val="HideTWBExt"/>
        <w:noProof w:val="0"/>
      </w:rPr>
      <w:t>&lt;NoPE&gt;</w:t>
    </w:r>
    <w:r w:rsidRPr="00EA6DB2">
      <w:t>603.766</w:t>
    </w:r>
    <w:r w:rsidRPr="00EA6DB2">
      <w:rPr>
        <w:rStyle w:val="HideTWBExt"/>
        <w:noProof w:val="0"/>
      </w:rPr>
      <w:t>&lt;/NoPE&gt;&lt;Version&gt;</w:t>
    </w:r>
    <w:r w:rsidRPr="00EA6DB2">
      <w:t>v01-00</w:t>
    </w:r>
    <w:r w:rsidRPr="00EA6DB2">
      <w:rPr>
        <w:rStyle w:val="HideTWBExt"/>
        <w:noProof w:val="0"/>
      </w:rPr>
      <w:t>&lt;/Version&gt;</w:t>
    </w:r>
    <w:r w:rsidRPr="00EA6DB2">
      <w:tab/>
    </w:r>
    <w:r w:rsidRPr="00EA6DB2">
      <w:fldChar w:fldCharType="begin"/>
    </w:r>
    <w:r w:rsidRPr="00EA6DB2">
      <w:instrText xml:space="preserve"> PAGE  \* MERGEFORMAT </w:instrText>
    </w:r>
    <w:r w:rsidRPr="00EA6DB2">
      <w:fldChar w:fldCharType="separate"/>
    </w:r>
    <w:r w:rsidR="006D4CBB">
      <w:rPr>
        <w:noProof/>
      </w:rPr>
      <w:t>4</w:t>
    </w:r>
    <w:r w:rsidRPr="00EA6DB2">
      <w:fldChar w:fldCharType="end"/>
    </w:r>
    <w:r w:rsidRPr="00EA6DB2">
      <w:t>/</w:t>
    </w:r>
    <w:r w:rsidR="006D4CBB">
      <w:fldChar w:fldCharType="begin"/>
    </w:r>
    <w:r w:rsidR="006D4CBB">
      <w:instrText xml:space="preserve"> NUMPAGES  \* MERGEFORMAT </w:instrText>
    </w:r>
    <w:r w:rsidR="006D4CBB">
      <w:fldChar w:fldCharType="separate"/>
    </w:r>
    <w:r w:rsidR="006D4CBB">
      <w:rPr>
        <w:noProof/>
      </w:rPr>
      <w:t>6</w:t>
    </w:r>
    <w:r w:rsidR="006D4CBB">
      <w:rPr>
        <w:noProof/>
      </w:rPr>
      <w:fldChar w:fldCharType="end"/>
    </w:r>
    <w:r w:rsidRPr="00EA6DB2">
      <w:tab/>
    </w:r>
    <w:r w:rsidRPr="00EA6DB2">
      <w:rPr>
        <w:rStyle w:val="HideTWBExt"/>
        <w:noProof w:val="0"/>
      </w:rPr>
      <w:t>&lt;PathFdR&gt;</w:t>
    </w:r>
    <w:r w:rsidRPr="00EA6DB2">
      <w:t>RE\1126037PL.docx</w:t>
    </w:r>
    <w:r w:rsidRPr="00EA6DB2">
      <w:rPr>
        <w:rStyle w:val="HideTWBExt"/>
        <w:noProof w:val="0"/>
      </w:rPr>
      <w:t>&lt;/PathFdR&gt;</w:t>
    </w:r>
  </w:p>
  <w:p w14:paraId="58BA7537" w14:textId="00ADAB46" w:rsidR="00A90219" w:rsidRPr="00EA6DB2" w:rsidRDefault="00EA6DB2" w:rsidP="00EA6DB2">
    <w:pPr>
      <w:pStyle w:val="Footer2"/>
    </w:pPr>
    <w:r w:rsidRPr="00EA6DB2">
      <w:t>PL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D4F1D" w14:textId="77777777" w:rsidR="00EA6DB2" w:rsidRPr="00EA6DB2" w:rsidRDefault="00EA6DB2" w:rsidP="00EA6DB2">
    <w:pPr>
      <w:pStyle w:val="Footer"/>
    </w:pPr>
    <w:r w:rsidRPr="00EA6DB2">
      <w:rPr>
        <w:rStyle w:val="HideTWBExt"/>
        <w:noProof w:val="0"/>
      </w:rPr>
      <w:t>&lt;PathFdR&gt;</w:t>
    </w:r>
    <w:r w:rsidRPr="00EA6DB2">
      <w:t>RE\1126037PL.docx</w:t>
    </w:r>
    <w:r w:rsidRPr="00EA6DB2">
      <w:rPr>
        <w:rStyle w:val="HideTWBExt"/>
        <w:noProof w:val="0"/>
      </w:rPr>
      <w:t>&lt;/PathFdR&gt;</w:t>
    </w:r>
    <w:r w:rsidRPr="00EA6DB2">
      <w:tab/>
    </w:r>
    <w:r w:rsidRPr="00EA6DB2">
      <w:fldChar w:fldCharType="begin"/>
    </w:r>
    <w:r w:rsidRPr="00EA6DB2">
      <w:instrText xml:space="preserve"> PAGE  \* MERGEFORMAT </w:instrText>
    </w:r>
    <w:r w:rsidRPr="00EA6DB2">
      <w:fldChar w:fldCharType="separate"/>
    </w:r>
    <w:r w:rsidR="006D4CBB">
      <w:rPr>
        <w:noProof/>
      </w:rPr>
      <w:t>5</w:t>
    </w:r>
    <w:r w:rsidRPr="00EA6DB2">
      <w:fldChar w:fldCharType="end"/>
    </w:r>
    <w:r w:rsidRPr="00EA6DB2">
      <w:t>/</w:t>
    </w:r>
    <w:r w:rsidR="006D4CBB">
      <w:fldChar w:fldCharType="begin"/>
    </w:r>
    <w:r w:rsidR="006D4CBB">
      <w:instrText xml:space="preserve"> NUMPAGES  \* MERGEFORMAT </w:instrText>
    </w:r>
    <w:r w:rsidR="006D4CBB">
      <w:fldChar w:fldCharType="separate"/>
    </w:r>
    <w:r w:rsidR="006D4CBB">
      <w:rPr>
        <w:noProof/>
      </w:rPr>
      <w:t>6</w:t>
    </w:r>
    <w:r w:rsidR="006D4CBB">
      <w:rPr>
        <w:noProof/>
      </w:rPr>
      <w:fldChar w:fldCharType="end"/>
    </w:r>
    <w:r w:rsidRPr="00EA6DB2">
      <w:tab/>
      <w:t>PE</w:t>
    </w:r>
    <w:r w:rsidRPr="00EA6DB2">
      <w:rPr>
        <w:rStyle w:val="HideTWBExt"/>
        <w:noProof w:val="0"/>
      </w:rPr>
      <w:t>&lt;NoPE&gt;</w:t>
    </w:r>
    <w:r w:rsidRPr="00EA6DB2">
      <w:t>603.766</w:t>
    </w:r>
    <w:r w:rsidRPr="00EA6DB2">
      <w:rPr>
        <w:rStyle w:val="HideTWBExt"/>
        <w:noProof w:val="0"/>
      </w:rPr>
      <w:t>&lt;/NoPE&gt;&lt;Version&gt;</w:t>
    </w:r>
    <w:r w:rsidRPr="00EA6DB2">
      <w:t>v01-00</w:t>
    </w:r>
    <w:r w:rsidRPr="00EA6DB2">
      <w:rPr>
        <w:rStyle w:val="HideTWBExt"/>
        <w:noProof w:val="0"/>
      </w:rPr>
      <w:t>&lt;/Version&gt;</w:t>
    </w:r>
  </w:p>
  <w:p w14:paraId="61190238" w14:textId="1A4507BA" w:rsidR="00A90219" w:rsidRPr="00EA6DB2" w:rsidRDefault="00EA6DB2" w:rsidP="00EA6DB2">
    <w:pPr>
      <w:pStyle w:val="Footer2"/>
    </w:pPr>
    <w:r w:rsidRPr="00EA6DB2">
      <w:tab/>
      <w:t>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A93E8A" w14:textId="77777777" w:rsidR="00EA6DB2" w:rsidRPr="00EA6DB2" w:rsidRDefault="00EA6DB2" w:rsidP="00EA6DB2">
    <w:pPr>
      <w:pStyle w:val="Footer"/>
    </w:pPr>
    <w:r w:rsidRPr="00EA6DB2">
      <w:rPr>
        <w:rStyle w:val="HideTWBExt"/>
        <w:noProof w:val="0"/>
      </w:rPr>
      <w:t>&lt;PathFdR&gt;</w:t>
    </w:r>
    <w:r w:rsidRPr="00EA6DB2">
      <w:t>RE\1126037PL.docx</w:t>
    </w:r>
    <w:r w:rsidRPr="00EA6DB2">
      <w:rPr>
        <w:rStyle w:val="HideTWBExt"/>
        <w:noProof w:val="0"/>
      </w:rPr>
      <w:t>&lt;/PathFdR&gt;</w:t>
    </w:r>
    <w:r w:rsidRPr="00EA6DB2">
      <w:tab/>
    </w:r>
    <w:r w:rsidRPr="00EA6DB2">
      <w:tab/>
      <w:t>PE</w:t>
    </w:r>
    <w:r w:rsidRPr="00EA6DB2">
      <w:rPr>
        <w:rStyle w:val="HideTWBExt"/>
        <w:noProof w:val="0"/>
      </w:rPr>
      <w:t>&lt;NoPE&gt;</w:t>
    </w:r>
    <w:r w:rsidRPr="00EA6DB2">
      <w:t>603.766</w:t>
    </w:r>
    <w:r w:rsidRPr="00EA6DB2">
      <w:rPr>
        <w:rStyle w:val="HideTWBExt"/>
        <w:noProof w:val="0"/>
      </w:rPr>
      <w:t>&lt;/NoPE&gt;&lt;Version&gt;</w:t>
    </w:r>
    <w:r w:rsidRPr="00EA6DB2">
      <w:t>v01-00</w:t>
    </w:r>
    <w:r w:rsidRPr="00EA6DB2">
      <w:rPr>
        <w:rStyle w:val="HideTWBExt"/>
        <w:noProof w:val="0"/>
      </w:rPr>
      <w:t>&lt;/Version&gt;</w:t>
    </w:r>
  </w:p>
  <w:p w14:paraId="37E70CA4" w14:textId="5F36F88F" w:rsidR="00A90219" w:rsidRPr="00EA6DB2" w:rsidRDefault="00EA6DB2" w:rsidP="00EA6DB2">
    <w:pPr>
      <w:pStyle w:val="Footer2"/>
      <w:tabs>
        <w:tab w:val="center" w:pos="4535"/>
      </w:tabs>
    </w:pPr>
    <w:r w:rsidRPr="00EA6DB2">
      <w:t>PL</w:t>
    </w:r>
    <w:r w:rsidRPr="00EA6DB2">
      <w:tab/>
    </w:r>
    <w:r w:rsidRPr="00EA6DB2">
      <w:rPr>
        <w:b w:val="0"/>
        <w:i/>
        <w:color w:val="C0C0C0"/>
        <w:sz w:val="22"/>
      </w:rPr>
      <w:t>Zjednoczona w różnorodności</w:t>
    </w:r>
    <w:r w:rsidRPr="00EA6DB2">
      <w:tab/>
      <w:t>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C498A" w14:textId="77777777" w:rsidR="00B40692" w:rsidRPr="00EA6DB2" w:rsidRDefault="00B40692">
      <w:r w:rsidRPr="00EA6DB2">
        <w:separator/>
      </w:r>
    </w:p>
  </w:footnote>
  <w:footnote w:type="continuationSeparator" w:id="0">
    <w:p w14:paraId="1AB24C4D" w14:textId="77777777" w:rsidR="00B40692" w:rsidRPr="00EA6DB2" w:rsidRDefault="00B40692">
      <w:r w:rsidRPr="00EA6DB2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7528BE" w14:textId="77777777" w:rsidR="006D4CBB" w:rsidRDefault="006D4CB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7B519" w14:textId="77777777" w:rsidR="006D4CBB" w:rsidRDefault="006D4CB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7ECBE9" w14:textId="77777777" w:rsidR="006D4CBB" w:rsidRDefault="006D4C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pyToNetwork" w:val="-1"/>
    <w:docVar w:name="DOCTYPEMNU" w:val=" 2"/>
    <w:docVar w:name="LastEditedSection" w:val=" 1"/>
    <w:docVar w:name="STATMNU" w:val=" 4"/>
    <w:docVar w:name="strSubDir" w:val="1126"/>
    <w:docVar w:name="TXTLANGUE" w:val="PL"/>
    <w:docVar w:name="TXTLANGUEMIN" w:val="pl"/>
    <w:docVar w:name="TXTNRB" w:val="0341/2017"/>
    <w:docVar w:name="TXTNRPE" w:val="603.766"/>
    <w:docVar w:name="TXTNRRSP" w:val="2017/2654"/>
    <w:docVar w:name="TXTPEorAP" w:val="PE"/>
    <w:docVar w:name="TXTROUTE" w:val="RE\1126037PL.docx"/>
    <w:docVar w:name="TXTTITLE" w:val="the EU strategy on Syria"/>
    <w:docVar w:name="TXTVERSION" w:val="01-00"/>
  </w:docVars>
  <w:rsids>
    <w:rsidRoot w:val="00B40692"/>
    <w:rsid w:val="00037F46"/>
    <w:rsid w:val="000452D8"/>
    <w:rsid w:val="00094DDA"/>
    <w:rsid w:val="00171935"/>
    <w:rsid w:val="001B49A3"/>
    <w:rsid w:val="001C62C5"/>
    <w:rsid w:val="002574AA"/>
    <w:rsid w:val="0027083C"/>
    <w:rsid w:val="002C7767"/>
    <w:rsid w:val="00303413"/>
    <w:rsid w:val="00313DAF"/>
    <w:rsid w:val="003772FA"/>
    <w:rsid w:val="0058312A"/>
    <w:rsid w:val="006D4CBB"/>
    <w:rsid w:val="00706BC0"/>
    <w:rsid w:val="00723A0B"/>
    <w:rsid w:val="00780A7D"/>
    <w:rsid w:val="00814BC6"/>
    <w:rsid w:val="00814D04"/>
    <w:rsid w:val="008429C1"/>
    <w:rsid w:val="008A4052"/>
    <w:rsid w:val="008C5D37"/>
    <w:rsid w:val="00907285"/>
    <w:rsid w:val="0091350B"/>
    <w:rsid w:val="00A90219"/>
    <w:rsid w:val="00B14480"/>
    <w:rsid w:val="00B34A46"/>
    <w:rsid w:val="00B40692"/>
    <w:rsid w:val="00C13B53"/>
    <w:rsid w:val="00C23264"/>
    <w:rsid w:val="00CA06ED"/>
    <w:rsid w:val="00CC09D8"/>
    <w:rsid w:val="00D12F64"/>
    <w:rsid w:val="00D23A5E"/>
    <w:rsid w:val="00D37769"/>
    <w:rsid w:val="00D90D37"/>
    <w:rsid w:val="00E05E63"/>
    <w:rsid w:val="00E1172C"/>
    <w:rsid w:val="00E45B43"/>
    <w:rsid w:val="00E53167"/>
    <w:rsid w:val="00EA6DB2"/>
    <w:rsid w:val="00ED20D0"/>
    <w:rsid w:val="00F26DE8"/>
    <w:rsid w:val="00F43292"/>
    <w:rsid w:val="00F4455A"/>
    <w:rsid w:val="00F9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73DBF6"/>
  <w15:chartTrackingRefBased/>
  <w15:docId w15:val="{BB77759E-071A-40D8-866E-90E43E16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Footer">
    <w:name w:val="footer"/>
    <w:basedOn w:val="Normal12a12b"/>
    <w:pPr>
      <w:tabs>
        <w:tab w:val="center" w:pos="4535"/>
        <w:tab w:val="right" w:pos="9071"/>
      </w:tabs>
    </w:pPr>
    <w:rPr>
      <w:sz w:val="22"/>
    </w:rPr>
  </w:style>
  <w:style w:type="paragraph" w:customStyle="1" w:styleId="Normal12a12b">
    <w:name w:val="Normal12a12b"/>
    <w:basedOn w:val="Normal"/>
    <w:pPr>
      <w:spacing w:before="240" w:after="240"/>
    </w:pPr>
  </w:style>
  <w:style w:type="paragraph" w:customStyle="1" w:styleId="Footer2">
    <w:name w:val="Footer2"/>
    <w:basedOn w:val="Normal"/>
    <w:pPr>
      <w:widowControl/>
      <w:tabs>
        <w:tab w:val="right" w:pos="9921"/>
      </w:tabs>
      <w:spacing w:after="240"/>
      <w:ind w:left="-850" w:right="-850"/>
    </w:pPr>
    <w:rPr>
      <w:rFonts w:ascii="Arial" w:hAnsi="Arial" w:cs="Arial"/>
      <w:b/>
      <w:sz w:val="48"/>
    </w:rPr>
  </w:style>
  <w:style w:type="paragraph" w:customStyle="1" w:styleId="Normal12">
    <w:name w:val="Normal12"/>
    <w:basedOn w:val="Normal"/>
    <w:pPr>
      <w:spacing w:after="240"/>
    </w:pPr>
  </w:style>
  <w:style w:type="paragraph" w:styleId="TOC1">
    <w:name w:val="toc 1"/>
    <w:basedOn w:val="Normal12"/>
    <w:next w:val="Normal12"/>
    <w:autoRedefine/>
    <w:semiHidden/>
  </w:style>
  <w:style w:type="paragraph" w:styleId="TOCHeading">
    <w:name w:val="TOC Heading"/>
    <w:basedOn w:val="Normal12"/>
    <w:next w:val="Normal12"/>
    <w:qFormat/>
    <w:pPr>
      <w:keepNext/>
      <w:spacing w:before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12"/>
    <w:next w:val="TOC1"/>
    <w:pPr>
      <w:keepNext/>
      <w:jc w:val="right"/>
    </w:pPr>
    <w:rPr>
      <w:rFonts w:ascii="Arial" w:hAnsi="Arial"/>
      <w:b/>
    </w:rPr>
  </w:style>
  <w:style w:type="character" w:customStyle="1" w:styleId="HideTWBInt">
    <w:name w:val="HideTWBInt"/>
    <w:rPr>
      <w:vanish/>
      <w:color w:val="808080"/>
    </w:rPr>
  </w:style>
  <w:style w:type="paragraph" w:customStyle="1" w:styleId="TableofEntries">
    <w:name w:val="Table of Entries"/>
    <w:basedOn w:val="Normal12"/>
    <w:pPr>
      <w:widowControl/>
      <w:tabs>
        <w:tab w:val="right" w:leader="dot" w:pos="9072"/>
      </w:tabs>
      <w:jc w:val="both"/>
    </w:pPr>
  </w:style>
  <w:style w:type="paragraph" w:customStyle="1" w:styleId="Normal6">
    <w:name w:val="Normal6"/>
    <w:basedOn w:val="Normal"/>
    <w:pPr>
      <w:spacing w:after="120"/>
    </w:pPr>
  </w:style>
  <w:style w:type="paragraph" w:customStyle="1" w:styleId="PageHeading">
    <w:name w:val="PageHeading"/>
    <w:basedOn w:val="Normal12a12b"/>
    <w:pPr>
      <w:keepNext/>
      <w:jc w:val="center"/>
    </w:pPr>
    <w:rPr>
      <w:rFonts w:ascii="Arial" w:hAnsi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12Bold">
    <w:name w:val="Normal12Bold"/>
    <w:basedOn w:val="Normal12"/>
    <w:rPr>
      <w:b/>
    </w:rPr>
  </w:style>
  <w:style w:type="paragraph" w:customStyle="1" w:styleId="Normal12Italic">
    <w:name w:val="Normal12Italic"/>
    <w:basedOn w:val="Normal12"/>
    <w:rPr>
      <w:i/>
    </w:rPr>
  </w:style>
  <w:style w:type="paragraph" w:customStyle="1" w:styleId="Normal12Hanging">
    <w:name w:val="Normal12Hanging"/>
    <w:basedOn w:val="Normal12"/>
    <w:pPr>
      <w:ind w:left="567" w:hanging="567"/>
    </w:pPr>
  </w:style>
  <w:style w:type="paragraph" w:customStyle="1" w:styleId="CoverBold">
    <w:name w:val="CoverBold"/>
    <w:basedOn w:val="CoverNormal"/>
    <w:rsid w:val="002574AA"/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Normal24">
    <w:name w:val="Normal24"/>
    <w:basedOn w:val="Normal"/>
    <w:pPr>
      <w:spacing w:after="480"/>
    </w:pPr>
  </w:style>
  <w:style w:type="paragraph" w:customStyle="1" w:styleId="Cover12">
    <w:name w:val="Cover12"/>
    <w:basedOn w:val="Normal12"/>
    <w:pPr>
      <w:ind w:left="1418"/>
    </w:pPr>
  </w:style>
  <w:style w:type="paragraph" w:customStyle="1" w:styleId="Cover24">
    <w:name w:val="Cover24"/>
    <w:basedOn w:val="Normal24"/>
    <w:pPr>
      <w:ind w:left="1418"/>
    </w:pPr>
  </w:style>
  <w:style w:type="paragraph" w:customStyle="1" w:styleId="EntPE">
    <w:name w:val="EntPE"/>
    <w:basedOn w:val="Normal12"/>
    <w:pPr>
      <w:jc w:val="center"/>
    </w:pPr>
    <w:rPr>
      <w:sz w:val="56"/>
    </w:rPr>
  </w:style>
  <w:style w:type="paragraph" w:customStyle="1" w:styleId="Hanging12">
    <w:name w:val="Hanging12"/>
    <w:basedOn w:val="Normal12"/>
    <w:pPr>
      <w:tabs>
        <w:tab w:val="left" w:pos="357"/>
      </w:tabs>
      <w:ind w:left="357" w:hanging="357"/>
    </w:pPr>
  </w:style>
  <w:style w:type="paragraph" w:customStyle="1" w:styleId="Normal12a12bBold">
    <w:name w:val="Normal12a12bBold"/>
    <w:basedOn w:val="Normal12a12b"/>
    <w:rPr>
      <w:b/>
    </w:rPr>
  </w:style>
  <w:style w:type="paragraph" w:customStyle="1" w:styleId="Normal12a12bJ">
    <w:name w:val="Normal12a12bJ"/>
    <w:basedOn w:val="Normal12a12b"/>
    <w:pPr>
      <w:jc w:val="both"/>
    </w:pPr>
  </w:style>
  <w:style w:type="paragraph" w:customStyle="1" w:styleId="Normal12a12bKeep">
    <w:name w:val="Normal12a12bKeep"/>
    <w:basedOn w:val="Normal12a12b"/>
    <w:pPr>
      <w:keepNext/>
    </w:pPr>
  </w:style>
  <w:style w:type="paragraph" w:customStyle="1" w:styleId="Normal12BoldKeep">
    <w:name w:val="Normal12BoldKeep"/>
    <w:basedOn w:val="Normal12"/>
    <w:pPr>
      <w:keepNext/>
    </w:pPr>
    <w:rPr>
      <w:b/>
    </w:rPr>
  </w:style>
  <w:style w:type="paragraph" w:customStyle="1" w:styleId="Normal12Centre">
    <w:name w:val="Normal12Centre"/>
    <w:basedOn w:val="Normal12"/>
    <w:pPr>
      <w:jc w:val="center"/>
    </w:pPr>
  </w:style>
  <w:style w:type="paragraph" w:customStyle="1" w:styleId="Normal12ItalicKeep">
    <w:name w:val="Normal12ItalicKeep"/>
    <w:basedOn w:val="Normal12"/>
    <w:pPr>
      <w:keepNext/>
    </w:pPr>
    <w:rPr>
      <w:i/>
    </w:rPr>
  </w:style>
  <w:style w:type="paragraph" w:customStyle="1" w:styleId="Normal12J">
    <w:name w:val="Normal12J"/>
    <w:basedOn w:val="Normal12"/>
    <w:pPr>
      <w:jc w:val="both"/>
    </w:pPr>
  </w:style>
  <w:style w:type="paragraph" w:customStyle="1" w:styleId="Normal12Keep">
    <w:name w:val="Normal12Keep"/>
    <w:basedOn w:val="Normal12"/>
    <w:pPr>
      <w:keepNext/>
    </w:pPr>
  </w:style>
  <w:style w:type="paragraph" w:customStyle="1" w:styleId="Normal12Tab">
    <w:name w:val="Normal12Tab"/>
    <w:basedOn w:val="Normal12"/>
    <w:rsid w:val="001B49A3"/>
    <w:pPr>
      <w:tabs>
        <w:tab w:val="left" w:pos="567"/>
      </w:tabs>
    </w:pPr>
  </w:style>
  <w:style w:type="paragraph" w:customStyle="1" w:styleId="Normal30Keep">
    <w:name w:val="Normal30Keep"/>
    <w:basedOn w:val="Normal"/>
    <w:pPr>
      <w:keepNext/>
      <w:spacing w:after="600"/>
    </w:pPr>
  </w:style>
  <w:style w:type="paragraph" w:customStyle="1" w:styleId="Normal36Bold">
    <w:name w:val="Normal36Bold"/>
    <w:basedOn w:val="Normal"/>
    <w:pPr>
      <w:spacing w:after="720"/>
    </w:pPr>
    <w:rPr>
      <w:b/>
    </w:rPr>
  </w:style>
  <w:style w:type="paragraph" w:customStyle="1" w:styleId="NormalBoldCentre">
    <w:name w:val="NormalBoldCentre"/>
    <w:basedOn w:val="Normal"/>
    <w:pPr>
      <w:jc w:val="center"/>
    </w:pPr>
    <w:rPr>
      <w:b/>
    </w:rPr>
  </w:style>
  <w:style w:type="paragraph" w:customStyle="1" w:styleId="NormalBoldKeep">
    <w:name w:val="NormalBoldKeep"/>
    <w:basedOn w:val="Normal"/>
    <w:pPr>
      <w:keepNext/>
    </w:pPr>
    <w:rPr>
      <w:b/>
    </w:rPr>
  </w:style>
  <w:style w:type="paragraph" w:customStyle="1" w:styleId="NormalCentre">
    <w:name w:val="NormalCentre"/>
    <w:basedOn w:val="Normal"/>
    <w:pPr>
      <w:jc w:val="center"/>
    </w:pPr>
  </w:style>
  <w:style w:type="paragraph" w:customStyle="1" w:styleId="NormalCentreKeep">
    <w:name w:val="NormalCentreKeep"/>
    <w:basedOn w:val="Normal"/>
    <w:pPr>
      <w:keepNext/>
      <w:jc w:val="center"/>
    </w:pPr>
  </w:style>
  <w:style w:type="paragraph" w:customStyle="1" w:styleId="NormalJ">
    <w:name w:val="NormalJ"/>
    <w:basedOn w:val="Normal"/>
    <w:pPr>
      <w:jc w:val="both"/>
    </w:pPr>
  </w:style>
  <w:style w:type="paragraph" w:customStyle="1" w:styleId="NormalKeep">
    <w:name w:val="NormalKeep"/>
    <w:basedOn w:val="Normal"/>
    <w:pPr>
      <w:keepNext/>
    </w:pPr>
  </w:style>
  <w:style w:type="paragraph" w:customStyle="1" w:styleId="TypeDoc">
    <w:name w:val="TypeDoc"/>
    <w:basedOn w:val="Normal24"/>
    <w:pPr>
      <w:ind w:left="1418"/>
    </w:pPr>
    <w:rPr>
      <w:rFonts w:ascii="Arial" w:hAnsi="Arial"/>
      <w:b/>
      <w:sz w:val="48"/>
    </w:rPr>
  </w:style>
  <w:style w:type="paragraph" w:customStyle="1" w:styleId="ZDateRes">
    <w:name w:val="ZDateRes"/>
    <w:basedOn w:val="Normal"/>
    <w:pPr>
      <w:tabs>
        <w:tab w:val="right" w:pos="9072"/>
      </w:tabs>
      <w:spacing w:before="1920" w:after="1200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531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SessionDoc">
    <w:name w:val="ZSessionDoc"/>
    <w:basedOn w:val="Normal"/>
    <w:next w:val="Normal"/>
    <w:rsid w:val="00E53167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ZSessionDoc"/>
    <w:rsid w:val="00E53167"/>
    <w:pPr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094DDA"/>
    <w:pPr>
      <w:pBdr>
        <w:bottom w:val="single" w:sz="4" w:space="1" w:color="auto"/>
      </w:pBdr>
      <w:spacing w:after="840"/>
      <w:jc w:val="center"/>
    </w:pPr>
    <w:rPr>
      <w:rFonts w:ascii="Arial" w:hAnsi="Arial"/>
      <w:sz w:val="16"/>
      <w:szCs w:val="16"/>
    </w:rPr>
  </w:style>
  <w:style w:type="paragraph" w:customStyle="1" w:styleId="Normal24Bold">
    <w:name w:val="Normal24Bold"/>
    <w:basedOn w:val="Normal"/>
    <w:rsid w:val="00C23264"/>
    <w:pPr>
      <w:spacing w:after="480"/>
    </w:pPr>
    <w:rPr>
      <w:b/>
    </w:rPr>
  </w:style>
  <w:style w:type="paragraph" w:customStyle="1" w:styleId="EPName">
    <w:name w:val="EPName"/>
    <w:basedOn w:val="Normal"/>
    <w:rsid w:val="00706BC0"/>
    <w:pPr>
      <w:spacing w:before="80" w:after="80"/>
    </w:pPr>
    <w:rPr>
      <w:rFonts w:ascii="Arial Narrow" w:hAnsi="Arial Narrow" w:cs="Arial"/>
      <w:b/>
      <w:color w:val="000000"/>
      <w:sz w:val="32"/>
      <w:szCs w:val="22"/>
    </w:rPr>
  </w:style>
  <w:style w:type="paragraph" w:customStyle="1" w:styleId="EPTerm">
    <w:name w:val="EPTerm"/>
    <w:basedOn w:val="Normal"/>
    <w:next w:val="Normal"/>
    <w:rsid w:val="00706BC0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06BC0"/>
    <w:pPr>
      <w:jc w:val="right"/>
    </w:pPr>
  </w:style>
  <w:style w:type="paragraph" w:customStyle="1" w:styleId="RefProc">
    <w:name w:val="RefProc"/>
    <w:basedOn w:val="Normal"/>
    <w:rsid w:val="00094DDA"/>
    <w:pPr>
      <w:spacing w:before="240" w:after="240"/>
      <w:jc w:val="right"/>
    </w:pPr>
    <w:rPr>
      <w:rFonts w:ascii="Arial" w:hAnsi="Arial"/>
      <w:b/>
    </w:rPr>
  </w:style>
  <w:style w:type="paragraph" w:customStyle="1" w:styleId="ZDate">
    <w:name w:val="ZDate"/>
    <w:basedOn w:val="Normal"/>
    <w:rsid w:val="00094DDA"/>
    <w:pPr>
      <w:spacing w:after="120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313DAF"/>
  </w:style>
  <w:style w:type="paragraph" w:styleId="CommentSubject">
    <w:name w:val="annotation subject"/>
    <w:basedOn w:val="CommentText"/>
    <w:next w:val="CommentText"/>
    <w:link w:val="CommentSubjectChar"/>
    <w:rsid w:val="00313D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13DAF"/>
    <w:rPr>
      <w:b/>
      <w:bCs/>
    </w:rPr>
  </w:style>
  <w:style w:type="paragraph" w:styleId="Revision">
    <w:name w:val="Revision"/>
    <w:hidden/>
    <w:uiPriority w:val="99"/>
    <w:semiHidden/>
    <w:rsid w:val="00313DAF"/>
    <w:rPr>
      <w:sz w:val="24"/>
    </w:rPr>
  </w:style>
  <w:style w:type="paragraph" w:styleId="BalloonText">
    <w:name w:val="Balloon Text"/>
    <w:basedOn w:val="Normal"/>
    <w:link w:val="BalloonTextChar"/>
    <w:rsid w:val="00313D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3D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50DA7230.dotm</Template>
  <TotalTime>0</TotalTime>
  <Pages>6</Pages>
  <Words>1881</Words>
  <Characters>12509</Characters>
  <Application>Microsoft Office Word</Application>
  <DocSecurity>0</DocSecurity>
  <Lines>219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RE_Statements</vt:lpstr>
    </vt:vector>
  </TitlesOfParts>
  <Company/>
  <LinksUpToDate>false</LinksUpToDate>
  <CharactersWithSpaces>14330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RE_Statements</dc:title>
  <dc:subject/>
  <dc:creator>DE WILDE Alice</dc:creator>
  <cp:keywords/>
  <dc:description/>
  <cp:lastModifiedBy>KLIMKOWSKI Andrzej</cp:lastModifiedBy>
  <cp:revision>2</cp:revision>
  <cp:lastPrinted>2004-11-19T14:55:00Z</cp:lastPrinted>
  <dcterms:created xsi:type="dcterms:W3CDTF">2017-05-17T14:35:00Z</dcterms:created>
  <dcterms:modified xsi:type="dcterms:W3CDTF">2017-05-17T14:35:00Z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 with">
    <vt:lpwstr>9.0.0 Build [20170325]</vt:lpwstr>
  </property>
  <property fmtid="{D5CDD505-2E9C-101B-9397-08002B2CF9AE}" pid="3" name="LastEdited with">
    <vt:lpwstr>9.0.0 Build [20170325]</vt:lpwstr>
  </property>
  <property fmtid="{D5CDD505-2E9C-101B-9397-08002B2CF9AE}" pid="4" name="&lt;FdR&gt;">
    <vt:lpwstr>1126037</vt:lpwstr>
  </property>
  <property fmtid="{D5CDD505-2E9C-101B-9397-08002B2CF9AE}" pid="5" name="&lt;Type&gt;">
    <vt:lpwstr>RE</vt:lpwstr>
  </property>
  <property fmtid="{D5CDD505-2E9C-101B-9397-08002B2CF9AE}" pid="6" name="&lt;ModelCod&gt;">
    <vt:lpwstr>\\eiciLUXpr1\pdocep$\DocEP\DOCS\General\RE\RE_Statements.dot(17/02/2016 11:46:04)</vt:lpwstr>
  </property>
  <property fmtid="{D5CDD505-2E9C-101B-9397-08002B2CF9AE}" pid="7" name="&lt;ModelTra&gt;">
    <vt:lpwstr>\\eiciLUXpr1\pdocep$\DocEP\TRANSFIL\EN\RE_Statements.EN(21/09/2015 07:36:43)</vt:lpwstr>
  </property>
  <property fmtid="{D5CDD505-2E9C-101B-9397-08002B2CF9AE}" pid="8" name="&lt;Model&gt;">
    <vt:lpwstr>RE_Statements</vt:lpwstr>
  </property>
  <property fmtid="{D5CDD505-2E9C-101B-9397-08002B2CF9AE}" pid="9" name="FooterPath">
    <vt:lpwstr>RE\1126037PL.docx</vt:lpwstr>
  </property>
  <property fmtid="{D5CDD505-2E9C-101B-9397-08002B2CF9AE}" pid="10" name="PE Number">
    <vt:lpwstr>603.766</vt:lpwstr>
  </property>
  <property fmtid="{D5CDD505-2E9C-101B-9397-08002B2CF9AE}" pid="11" name="Bookout">
    <vt:lpwstr>OK - 2017/05/17 16:35</vt:lpwstr>
  </property>
  <property fmtid="{D5CDD505-2E9C-101B-9397-08002B2CF9AE}" pid="12" name="SubscribeElise">
    <vt:lpwstr/>
  </property>
  <property fmtid="{D5CDD505-2E9C-101B-9397-08002B2CF9AE}" pid="13" name="SDLStudio">
    <vt:lpwstr/>
  </property>
  <property fmtid="{D5CDD505-2E9C-101B-9397-08002B2CF9AE}" pid="14" name="&lt;Extension&gt;">
    <vt:lpwstr>PL</vt:lpwstr>
  </property>
</Properties>
</file>