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06BC0" w:rsidRPr="006D70BA" w14:paraId="186E490F" w14:textId="77777777" w:rsidTr="00F26DE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B181DC" w14:textId="77777777" w:rsidR="00706BC0" w:rsidRPr="006D70BA" w:rsidRDefault="00705196" w:rsidP="00F26DE8">
            <w:pPr>
              <w:pStyle w:val="EPName"/>
            </w:pPr>
            <w:r w:rsidRPr="006D70BA">
              <w:t>Evropský parlament</w:t>
            </w:r>
          </w:p>
          <w:p w14:paraId="4BCF8C71" w14:textId="77777777" w:rsidR="00706BC0" w:rsidRPr="006D70BA" w:rsidRDefault="00751469" w:rsidP="0075146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70BA">
              <w:t>2014-2019</w:t>
            </w:r>
          </w:p>
        </w:tc>
        <w:tc>
          <w:tcPr>
            <w:tcW w:w="2268" w:type="dxa"/>
            <w:shd w:val="clear" w:color="auto" w:fill="auto"/>
          </w:tcPr>
          <w:p w14:paraId="744BBBBD" w14:textId="77777777" w:rsidR="00706BC0" w:rsidRPr="006D70BA" w:rsidRDefault="00BB33BC" w:rsidP="00F26DE8">
            <w:pPr>
              <w:pStyle w:val="EPLogo"/>
            </w:pPr>
            <w:r>
              <w:pict w14:anchorId="4B4513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7" o:title="EP logo RGB_Mute"/>
                </v:shape>
              </w:pict>
            </w:r>
          </w:p>
        </w:tc>
      </w:tr>
    </w:tbl>
    <w:p w14:paraId="59F5809E" w14:textId="77777777" w:rsidR="00E53167" w:rsidRPr="006D70BA" w:rsidRDefault="00E53167" w:rsidP="00E53167">
      <w:pPr>
        <w:pStyle w:val="LineTop"/>
      </w:pPr>
    </w:p>
    <w:p w14:paraId="3A5401C5" w14:textId="77777777" w:rsidR="00E53167" w:rsidRPr="006D70BA" w:rsidRDefault="00751469" w:rsidP="00E53167">
      <w:pPr>
        <w:pStyle w:val="ZSessionDoc"/>
      </w:pPr>
      <w:r w:rsidRPr="006D70BA">
        <w:t>Dokument ze zasedání</w:t>
      </w:r>
    </w:p>
    <w:p w14:paraId="43D4AA46" w14:textId="77777777" w:rsidR="00094DDA" w:rsidRPr="006D70BA" w:rsidRDefault="00094DDA" w:rsidP="00094DDA">
      <w:pPr>
        <w:pStyle w:val="LineBottom"/>
      </w:pPr>
    </w:p>
    <w:p w14:paraId="509512C0" w14:textId="77777777" w:rsidR="00094DDA" w:rsidRPr="006D70BA" w:rsidRDefault="00094DDA" w:rsidP="00094DDA">
      <w:pPr>
        <w:pStyle w:val="RefProc"/>
      </w:pPr>
      <w:r w:rsidRPr="006D70BA">
        <w:rPr>
          <w:rStyle w:val="HideTWBExt"/>
          <w:b w:val="0"/>
          <w:noProof w:val="0"/>
        </w:rPr>
        <w:t>&lt;NoDocSe&gt;</w:t>
      </w:r>
      <w:r w:rsidRPr="006D70BA">
        <w:t>B8</w:t>
      </w:r>
      <w:r w:rsidRPr="006D70BA">
        <w:noBreakHyphen/>
        <w:t>0153/2019</w:t>
      </w:r>
      <w:r w:rsidRPr="006D70BA">
        <w:rPr>
          <w:rStyle w:val="HideTWBExt"/>
          <w:b w:val="0"/>
          <w:noProof w:val="0"/>
        </w:rPr>
        <w:t>&lt;/NoDocSe&gt;</w:t>
      </w:r>
    </w:p>
    <w:p w14:paraId="01FD28FE" w14:textId="77777777" w:rsidR="00094DDA" w:rsidRPr="006D70BA" w:rsidRDefault="00094DDA" w:rsidP="00094DDA">
      <w:pPr>
        <w:pStyle w:val="ZDate"/>
      </w:pPr>
      <w:r w:rsidRPr="006D70BA">
        <w:rPr>
          <w:rStyle w:val="HideTWBExt"/>
          <w:noProof w:val="0"/>
        </w:rPr>
        <w:t>&lt;Date&gt;</w:t>
      </w:r>
      <w:r w:rsidRPr="006D70BA">
        <w:rPr>
          <w:rStyle w:val="HideTWBInt"/>
        </w:rPr>
        <w:t>{06/03/2019}</w:t>
      </w:r>
      <w:r w:rsidRPr="006D70BA">
        <w:t>6.3.2019</w:t>
      </w:r>
      <w:r w:rsidRPr="006D70BA">
        <w:rPr>
          <w:rStyle w:val="HideTWBExt"/>
          <w:noProof w:val="0"/>
        </w:rPr>
        <w:t>&lt;/Date&gt;</w:t>
      </w:r>
    </w:p>
    <w:p w14:paraId="681A588F" w14:textId="77777777" w:rsidR="00814BC6" w:rsidRPr="006D70BA" w:rsidRDefault="00814BC6">
      <w:pPr>
        <w:pStyle w:val="TypeDoc"/>
      </w:pPr>
      <w:r w:rsidRPr="006D70BA">
        <w:rPr>
          <w:rStyle w:val="HideTWBExt"/>
          <w:b w:val="0"/>
          <w:noProof w:val="0"/>
        </w:rPr>
        <w:t>&lt;TitreType&gt;</w:t>
      </w:r>
      <w:r w:rsidRPr="006D70BA">
        <w:t>NÁVRH USNESENÍ</w:t>
      </w:r>
      <w:r w:rsidRPr="006D70BA">
        <w:rPr>
          <w:rStyle w:val="HideTWBExt"/>
          <w:b w:val="0"/>
          <w:noProof w:val="0"/>
        </w:rPr>
        <w:t>&lt;/TitreType&gt;</w:t>
      </w:r>
    </w:p>
    <w:p w14:paraId="55C4604F" w14:textId="77777777" w:rsidR="00814BC6" w:rsidRPr="006D70BA" w:rsidRDefault="00814BC6">
      <w:pPr>
        <w:pStyle w:val="Cover12"/>
      </w:pPr>
      <w:r w:rsidRPr="006D70BA">
        <w:rPr>
          <w:rStyle w:val="HideTWBExt"/>
          <w:noProof w:val="0"/>
        </w:rPr>
        <w:t>&lt;TitreSuite&gt;</w:t>
      </w:r>
      <w:r w:rsidRPr="006D70BA">
        <w:t>předložený na základě prohlášení Rady a Komise</w:t>
      </w:r>
      <w:r w:rsidRPr="006D70BA">
        <w:rPr>
          <w:rStyle w:val="HideTWBExt"/>
          <w:noProof w:val="0"/>
        </w:rPr>
        <w:t>&lt;/TitreSuite&gt;</w:t>
      </w:r>
    </w:p>
    <w:p w14:paraId="69AF98EE" w14:textId="77777777" w:rsidR="00814BC6" w:rsidRPr="006D70BA" w:rsidRDefault="00814BC6">
      <w:pPr>
        <w:pStyle w:val="Cover12"/>
      </w:pPr>
      <w:r w:rsidRPr="006D70BA">
        <w:rPr>
          <w:rStyle w:val="HideTWBExt"/>
          <w:noProof w:val="0"/>
        </w:rPr>
        <w:t>&lt;TitreRecueil&gt;</w:t>
      </w:r>
      <w:r w:rsidRPr="006D70BA">
        <w:t>v souladu s čl. 123 odst. 2 jednacího řádu</w:t>
      </w:r>
      <w:r w:rsidRPr="006D70BA">
        <w:rPr>
          <w:rStyle w:val="HideTWBExt"/>
          <w:noProof w:val="0"/>
        </w:rPr>
        <w:t>&lt;/TitreRecueil&gt;</w:t>
      </w:r>
    </w:p>
    <w:p w14:paraId="108AC153" w14:textId="0E964836" w:rsidR="00C23264" w:rsidRPr="006D70BA" w:rsidRDefault="00C23264" w:rsidP="00C23264">
      <w:pPr>
        <w:pStyle w:val="CoverNormal"/>
      </w:pPr>
      <w:r w:rsidRPr="006D70BA">
        <w:rPr>
          <w:rStyle w:val="HideTWBExt"/>
          <w:noProof w:val="0"/>
        </w:rPr>
        <w:t>&lt;Titre&gt;</w:t>
      </w:r>
      <w:r w:rsidRPr="006D70BA">
        <w:t>o bezpečnostních hrozbách souvisejících se zvyšující se technologickou přítomností Číny v EU a o případných opatřeních přijatých na úrovni EU na jejich omezení</w:t>
      </w:r>
      <w:r w:rsidRPr="006D70BA">
        <w:rPr>
          <w:rStyle w:val="HideTWBExt"/>
          <w:noProof w:val="0"/>
        </w:rPr>
        <w:t>&lt;/Titre&gt;</w:t>
      </w:r>
    </w:p>
    <w:p w14:paraId="36273EFB" w14:textId="77777777" w:rsidR="00C23264" w:rsidRPr="006D70BA" w:rsidRDefault="00C23264" w:rsidP="00C23264">
      <w:pPr>
        <w:pStyle w:val="Cover24"/>
      </w:pPr>
      <w:r w:rsidRPr="006D70BA">
        <w:rPr>
          <w:rStyle w:val="HideTWBExt"/>
          <w:noProof w:val="0"/>
        </w:rPr>
        <w:t>&lt;DocRef&gt;</w:t>
      </w:r>
      <w:r w:rsidRPr="006D70BA">
        <w:t>(2019/2575(RSP))</w:t>
      </w:r>
      <w:r w:rsidRPr="006D70BA">
        <w:rPr>
          <w:rStyle w:val="HideTWBExt"/>
          <w:noProof w:val="0"/>
        </w:rPr>
        <w:t>&lt;/DocRef&gt;</w:t>
      </w:r>
    </w:p>
    <w:p w14:paraId="1AA7F502" w14:textId="77777777" w:rsidR="002574AA" w:rsidRPr="006D70BA" w:rsidRDefault="002574AA" w:rsidP="002574AA">
      <w:pPr>
        <w:pStyle w:val="CoverBold"/>
      </w:pPr>
      <w:r w:rsidRPr="006D70BA">
        <w:rPr>
          <w:rStyle w:val="HideTWBExt"/>
          <w:b w:val="0"/>
          <w:noProof w:val="0"/>
        </w:rPr>
        <w:t>&lt;RepeatBlock-By&gt;&lt;Depute&gt;</w:t>
      </w:r>
      <w:r w:rsidRPr="006D70BA">
        <w:t>Tiziana Beghin, Dario Tamburrano, Isabella Adinolfi, Rolandas Paksas</w:t>
      </w:r>
      <w:r w:rsidRPr="006D70BA">
        <w:rPr>
          <w:rStyle w:val="HideTWBExt"/>
          <w:b w:val="0"/>
          <w:noProof w:val="0"/>
        </w:rPr>
        <w:t>&lt;/Depute&gt;</w:t>
      </w:r>
    </w:p>
    <w:p w14:paraId="386F0EB1" w14:textId="77777777" w:rsidR="002574AA" w:rsidRPr="006D70BA" w:rsidRDefault="002574AA" w:rsidP="002574AA">
      <w:pPr>
        <w:pStyle w:val="CoverNormal"/>
      </w:pPr>
      <w:r w:rsidRPr="006D70BA">
        <w:rPr>
          <w:rStyle w:val="HideTWBExt"/>
          <w:noProof w:val="0"/>
        </w:rPr>
        <w:t>&lt;Commission&gt;</w:t>
      </w:r>
      <w:r w:rsidRPr="006D70BA">
        <w:rPr>
          <w:rStyle w:val="HideTWBInt"/>
        </w:rPr>
        <w:t>{EFDD}</w:t>
      </w:r>
      <w:r w:rsidRPr="006D70BA">
        <w:t>za skupinu EFDD</w:t>
      </w:r>
      <w:r w:rsidRPr="006D70BA">
        <w:rPr>
          <w:rStyle w:val="HideTWBExt"/>
          <w:noProof w:val="0"/>
        </w:rPr>
        <w:t>&lt;/Commission&gt;</w:t>
      </w:r>
    </w:p>
    <w:p w14:paraId="17936249" w14:textId="77777777" w:rsidR="002574AA" w:rsidRPr="006D70BA" w:rsidRDefault="002574AA" w:rsidP="002574AA">
      <w:pPr>
        <w:pStyle w:val="CoverNormal"/>
      </w:pPr>
      <w:r w:rsidRPr="006D70BA">
        <w:rPr>
          <w:rStyle w:val="HideTWBExt"/>
          <w:noProof w:val="0"/>
        </w:rPr>
        <w:t>&lt;/RepeatBlock-By&gt;</w:t>
      </w:r>
    </w:p>
    <w:p w14:paraId="0C2E5706" w14:textId="77777777" w:rsidR="00814BC6" w:rsidRPr="006D70BA" w:rsidRDefault="00814BC6">
      <w:pPr>
        <w:pStyle w:val="Normal12Bold"/>
      </w:pPr>
      <w:r w:rsidRPr="006D70BA">
        <w:br w:type="page"/>
      </w:r>
      <w:r w:rsidRPr="006D70BA">
        <w:lastRenderedPageBreak/>
        <w:t>B8</w:t>
      </w:r>
      <w:r w:rsidRPr="006D70BA">
        <w:noBreakHyphen/>
        <w:t>0153/2019</w:t>
      </w:r>
    </w:p>
    <w:p w14:paraId="68CD461D" w14:textId="778177B2" w:rsidR="00C23264" w:rsidRPr="006D70BA" w:rsidRDefault="00705196" w:rsidP="00C23264">
      <w:pPr>
        <w:pStyle w:val="NormalBold"/>
      </w:pPr>
      <w:r w:rsidRPr="006D70BA">
        <w:t>Usnesení Evropského parlamentu o bezpečnostních hrozbách souvisejících se zvyšující se technologickou přítomností Číny v EU a o případných opatřeních přijatých na úrovni EU na jejich omezení</w:t>
      </w:r>
    </w:p>
    <w:p w14:paraId="2607A492" w14:textId="77777777" w:rsidR="00C23264" w:rsidRPr="006D70BA" w:rsidRDefault="00705196" w:rsidP="00C23264">
      <w:pPr>
        <w:pStyle w:val="Normal24Bold"/>
      </w:pPr>
      <w:r w:rsidRPr="006D70BA">
        <w:t>(2019/2575(RSP))</w:t>
      </w:r>
    </w:p>
    <w:p w14:paraId="0E414D4F" w14:textId="77777777" w:rsidR="00814BC6" w:rsidRPr="006D70BA" w:rsidRDefault="00705196">
      <w:pPr>
        <w:pStyle w:val="Normal12"/>
      </w:pPr>
      <w:r w:rsidRPr="006D70BA">
        <w:rPr>
          <w:i/>
        </w:rPr>
        <w:t>Evropský parlament</w:t>
      </w:r>
      <w:r w:rsidRPr="006D70BA">
        <w:t>,</w:t>
      </w:r>
    </w:p>
    <w:p w14:paraId="7A3F821F" w14:textId="7360C362" w:rsidR="00751469" w:rsidRPr="006D70BA" w:rsidRDefault="00814BC6" w:rsidP="00751469">
      <w:pPr>
        <w:pStyle w:val="Normal12Hanging"/>
      </w:pPr>
      <w:r w:rsidRPr="006D70BA">
        <w:t>–</w:t>
      </w:r>
      <w:r w:rsidRPr="006D70BA">
        <w:tab/>
        <w:t>s ohledem na sdělení Komise ze dne 14. září 2016 nazvané „Připojení pro konkurenceschopný jednotný digitální trh – na cestě k evropské gigabitové společnosti“ (COM(2016)0587) a na sdělení „Akční plán 5G pro Evropu“ (COM(2016)0588),</w:t>
      </w:r>
    </w:p>
    <w:p w14:paraId="716FE8D4" w14:textId="3406530E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 ohledem na pozměněný návrh nařízení Evropského parlamentu a Rady ze dne 29. ledna 2016 o přístupu zboží a služeb třetích zemí na vnitřní trh Unie s veřejnými zakázkami a o postupech na podporu jednání o přístupu zboží a služeb Unie na trhy třetích zemí s veřejnými zakázkami (COM(2016)0034),</w:t>
      </w:r>
    </w:p>
    <w:p w14:paraId="6D43F9BC" w14:textId="779581C1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 ohledem na směrnici Evropského parlamentu a Rady (EU) č. 2016/1148 ze dne 6. července 2016 o opatřeních pro zajištění vysoké společné úrovně bezpečnosti sítí a informačních systémů v celé Unii</w:t>
      </w:r>
      <w:r w:rsidR="00A57EC0" w:rsidRPr="006D70BA">
        <w:rPr>
          <w:rStyle w:val="FootnoteReference"/>
        </w:rPr>
        <w:footnoteReference w:id="2"/>
      </w:r>
      <w:r w:rsidRPr="006D70BA">
        <w:t>,</w:t>
      </w:r>
    </w:p>
    <w:p w14:paraId="63D090B7" w14:textId="127797CD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 ohledem na návrh nařízení Evropského parlamentu a Rady ze dne 13. září 2017 o agentuře ENISA, „Agentuře EU pro kybernetickou bezpečnost“, a o zrušení nařízení (EU) 526/2013 a o certifikaci kybernetické bezpečnosti informačních a komunikačních technologií („akt o kybernetické bezpečnosti“) (COM(2017)0477),</w:t>
      </w:r>
    </w:p>
    <w:p w14:paraId="534C9A37" w14:textId="35CCFC3E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 ohledem na směrnici Evropského parlamentu a Rady (EU) 2018/1972 ze dne 11. prosince 2018, kterou se stanoví evropský kodex pro elektronické komunikace</w:t>
      </w:r>
      <w:r w:rsidR="00A57EC0" w:rsidRPr="006D70BA">
        <w:rPr>
          <w:rStyle w:val="FootnoteReference"/>
        </w:rPr>
        <w:footnoteReference w:id="3"/>
      </w:r>
      <w:r w:rsidRPr="006D70BA">
        <w:t>,</w:t>
      </w:r>
    </w:p>
    <w:p w14:paraId="3CC512BD" w14:textId="22C5A170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 ohledem na návrh nařízení Evropského parlamentu a Rady ze dne 12. září 2018, kterým se zřizuje Evropské průmyslové, technologické a výzkumné centrum kompetencí pro kybernetickou bezpečnost a síť národních koordinačních center, jejž předložila Komise (COM(2018)0630),</w:t>
      </w:r>
    </w:p>
    <w:p w14:paraId="6F6C9F92" w14:textId="77777777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 ohledem na žádost o urovnání sporu podanou ke Světové obchodní organizaci dne 1 června 2018 (WT/DS549/6) týkající se některých opatření uložených Čínou ohledně transferu zahraničních technologií do Číny;</w:t>
      </w:r>
    </w:p>
    <w:p w14:paraId="353285BF" w14:textId="2B86D76B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 ohledem na svůj postoj přijatý v prvním čtení dne 14. února 2019 v souvislosti s návrhem nařízení Evropského parlamentu a Rady, kterým se stanoví rámec pro prověřování přímých zahraničních investic do Evropské unie</w:t>
      </w:r>
      <w:r w:rsidR="00A57EC0" w:rsidRPr="006D70BA">
        <w:rPr>
          <w:rStyle w:val="FootnoteReference"/>
        </w:rPr>
        <w:footnoteReference w:id="4"/>
      </w:r>
      <w:r w:rsidRPr="006D70BA">
        <w:t>,</w:t>
      </w:r>
    </w:p>
    <w:p w14:paraId="6E41C4D4" w14:textId="77777777" w:rsidR="00751469" w:rsidRPr="006D70BA" w:rsidRDefault="00751469" w:rsidP="00751469">
      <w:pPr>
        <w:pStyle w:val="Normal12Hanging"/>
      </w:pPr>
      <w:r w:rsidRPr="006D70BA">
        <w:t>–</w:t>
      </w:r>
      <w:r w:rsidRPr="006D70BA">
        <w:tab/>
        <w:t>s ohledem na současná jednání mezi EU a Čínou o komplexní dohodě o investicích,</w:t>
      </w:r>
    </w:p>
    <w:p w14:paraId="6C28EE0D" w14:textId="77777777" w:rsidR="00751469" w:rsidRPr="006D70BA" w:rsidRDefault="00814BC6" w:rsidP="00751469">
      <w:pPr>
        <w:pStyle w:val="Normal12Hanging"/>
      </w:pPr>
      <w:r w:rsidRPr="006D70BA">
        <w:lastRenderedPageBreak/>
        <w:t>–</w:t>
      </w:r>
      <w:r w:rsidRPr="006D70BA">
        <w:tab/>
        <w:t>s ohledem na čl. 123 odst. 2 jednacího řádu,</w:t>
      </w:r>
    </w:p>
    <w:p w14:paraId="79415E6F" w14:textId="31A85D4B" w:rsidR="00751469" w:rsidRPr="006D70BA" w:rsidRDefault="00751469" w:rsidP="00751469">
      <w:pPr>
        <w:pStyle w:val="Normal12Hanging"/>
      </w:pPr>
      <w:r w:rsidRPr="006D70BA">
        <w:t>A.</w:t>
      </w:r>
      <w:r w:rsidRPr="006D70BA">
        <w:tab/>
        <w:t>vzhledem k tomu, že nedávné pokroky v IKT, včetně páté generace telekomunikací (5G), umožňují nové způsoby výroby, distribuce a zužitkování zboží a služeb a nové způsoby interakce mezi zařízeními a občany, orgány veřejné správy a jinými socioekonomickými činiteli, a tudíž mohou podpořit evropské hospodářství;</w:t>
      </w:r>
    </w:p>
    <w:p w14:paraId="5BD0AFF3" w14:textId="7993C6BC" w:rsidR="00751469" w:rsidRPr="006D70BA" w:rsidRDefault="00751469" w:rsidP="00751469">
      <w:pPr>
        <w:pStyle w:val="Normal12Hanging"/>
      </w:pPr>
      <w:r w:rsidRPr="006D70BA">
        <w:t>B.</w:t>
      </w:r>
      <w:r w:rsidRPr="006D70BA">
        <w:tab/>
        <w:t>vzhledem k tomu, že kybernetická bezpečnost v IKT, ochrana citlivých informací a dodržování práv jednotlivce a ochrana před kybernetickými útoky zvnějšku jsou podmínkou pro zajištění technologické suverenity občanů EU a v konečném důsledku přinesou EU blahobyt a podpoří demokracii v EU;</w:t>
      </w:r>
    </w:p>
    <w:p w14:paraId="6FFADF35" w14:textId="24429B66" w:rsidR="00751469" w:rsidRPr="006D70BA" w:rsidRDefault="00751469" w:rsidP="00751469">
      <w:pPr>
        <w:pStyle w:val="Normal12Hanging"/>
      </w:pPr>
      <w:r w:rsidRPr="006D70BA">
        <w:t>C.</w:t>
      </w:r>
      <w:r w:rsidRPr="006D70BA">
        <w:tab/>
        <w:t>vzhledem k tomu, že výzkum a testování sítí 5G jen stěží drží krok s mezinárodním tlakem na zavedení a komercionalizaci sítí 5G, ačkoliv řada vědeckých studií upozornila na obavy a nejistoty v souvislosti s jejich bezpečností a zabezpečením, zejména pokud jde o rizika pro lidské zdraví a životní prostředí související s elektromagnetickým znečištěním;</w:t>
      </w:r>
    </w:p>
    <w:p w14:paraId="0651DD9B" w14:textId="6116D47B" w:rsidR="00751469" w:rsidRPr="006D70BA" w:rsidRDefault="00751469" w:rsidP="00751469">
      <w:pPr>
        <w:pStyle w:val="Normal12Hanging"/>
      </w:pPr>
      <w:r w:rsidRPr="006D70BA">
        <w:t>D.</w:t>
      </w:r>
      <w:r w:rsidRPr="006D70BA">
        <w:tab/>
        <w:t>vzhledem k tomu, že kybernetická bezpečnost sítí 5G představuje novou a komplexní výzvu kvůli virtualizované a decentralizované povaze sítí 5G a jejich roztříštěnému a vysoce specializovanému hodnotovému řetězci, od výroby po odeslání, instalaci, nastavení, provoz, údržbu a aktualizaci softwaru; vzhledem k tomu, že EU potřebuje odstranit nedostatky v oblasti kybernetické bezpečnosti mimo jiné ve své kritické infrastruktuře v odvětví telekomunikací, energetiky, dopravy, zdravotnictví, obrany a bezpečnosti;</w:t>
      </w:r>
    </w:p>
    <w:p w14:paraId="0DAF45C6" w14:textId="3D70DCEB" w:rsidR="00751469" w:rsidRPr="006D70BA" w:rsidRDefault="00751469" w:rsidP="00751469">
      <w:pPr>
        <w:pStyle w:val="Normal12Hanging"/>
      </w:pPr>
      <w:r w:rsidRPr="006D70BA">
        <w:t>E.</w:t>
      </w:r>
      <w:r w:rsidRPr="006D70BA">
        <w:tab/>
        <w:t>vzhledem k tomu, že zajištění bezpečných a zabezpečených sítí 5G je úkol, který nemůže splnit jednotlivý výrobce nebo provozovatel systému, ale vyžaduje účinná koordinovaná opatření ze strany všech příslušných vnitrostátních a mezinárodních orgánů;</w:t>
      </w:r>
    </w:p>
    <w:p w14:paraId="181474D4" w14:textId="5C847801" w:rsidR="00751469" w:rsidRPr="006D70BA" w:rsidRDefault="00751469" w:rsidP="00751469">
      <w:pPr>
        <w:pStyle w:val="Normal12Hanging"/>
      </w:pPr>
      <w:r w:rsidRPr="006D70BA">
        <w:t>F.</w:t>
      </w:r>
      <w:r w:rsidRPr="006D70BA">
        <w:tab/>
        <w:t>vzhledem k tomu, že EU má potenciál stát se předním subjektem ve vývoji technologií kybernetické bezpečnosti tím, že podpoří evropské podniky v tomto odvětví a prosadí veškeré změny v hodnotovém řetězci, které by mohly snížit závislost EU na zahraničních technologiích;</w:t>
      </w:r>
    </w:p>
    <w:p w14:paraId="63D2AFD2" w14:textId="052E20BF" w:rsidR="00751469" w:rsidRPr="006D70BA" w:rsidRDefault="00751469" w:rsidP="00751469">
      <w:pPr>
        <w:pStyle w:val="Normal12Hanging"/>
      </w:pPr>
      <w:r w:rsidRPr="006D70BA">
        <w:t>G.</w:t>
      </w:r>
      <w:r w:rsidRPr="006D70BA">
        <w:tab/>
        <w:t>vzhledem k tomu, že EU vyvíjí soubor opatření na zajištění kybernetické bezpečnosti, včetně směrnice o bezpečnosti sítí a informačních systémů a aktu o kybernetické bezpečnosti, které by měly být rychle provedeny a průběžně monitorovány s cílem zajistit, aby byly i nadále účinné v průběhu nezbytných aktualizací a přezkumů;</w:t>
      </w:r>
    </w:p>
    <w:p w14:paraId="24AFFE15" w14:textId="4FBA45F2" w:rsidR="00751469" w:rsidRPr="006D70BA" w:rsidRDefault="00751469" w:rsidP="00751469">
      <w:pPr>
        <w:pStyle w:val="Normal12Hanging"/>
      </w:pPr>
      <w:r w:rsidRPr="006D70BA">
        <w:t>H.</w:t>
      </w:r>
      <w:r w:rsidRPr="006D70BA">
        <w:tab/>
        <w:t>vzhledem k tomu, že větší přítomnost poskytovatelů technologií z Číny a jiných třetích zemí je na trhu EU se sítěmi 5G zjevná, zejména pak přítomnost státních nebo netransparentních podniků;</w:t>
      </w:r>
    </w:p>
    <w:p w14:paraId="0EB32999" w14:textId="77777777" w:rsidR="00751469" w:rsidRPr="006D70BA" w:rsidRDefault="00751469" w:rsidP="00751469">
      <w:pPr>
        <w:pStyle w:val="Normal12Hanging"/>
      </w:pPr>
      <w:r w:rsidRPr="006D70BA">
        <w:t>I.</w:t>
      </w:r>
      <w:r w:rsidRPr="006D70BA">
        <w:tab/>
        <w:t>vzhledem k tomu, že reciprocita je jedním z nejúčinnějších způsobů, jak dosáhnout pokroku na cestě k rovným podmínkám na celém světě;</w:t>
      </w:r>
    </w:p>
    <w:p w14:paraId="0A4F8E61" w14:textId="2656A497" w:rsidR="00751469" w:rsidRPr="006D70BA" w:rsidRDefault="00751469" w:rsidP="00751469">
      <w:pPr>
        <w:pStyle w:val="Normal12Hanging"/>
      </w:pPr>
      <w:r w:rsidRPr="006D70BA">
        <w:t>J.</w:t>
      </w:r>
      <w:r w:rsidRPr="006D70BA">
        <w:tab/>
        <w:t xml:space="preserve">vzhledem k tomu, že zahraniční společnosti se musejí vypořádat se současnou mezerou v normách EU pro ochranu údajů mezi obecným nařízením o ochraně osobních údajů a </w:t>
      </w:r>
      <w:r w:rsidRPr="006D70BA">
        <w:lastRenderedPageBreak/>
        <w:t>různými požadavky v rámci vnitrostátních právních řádů;</w:t>
      </w:r>
    </w:p>
    <w:p w14:paraId="2915D0C5" w14:textId="64F50B65" w:rsidR="00751469" w:rsidRPr="006D70BA" w:rsidRDefault="00751469" w:rsidP="00751469">
      <w:pPr>
        <w:pStyle w:val="Normal12Hanging"/>
      </w:pPr>
      <w:r w:rsidRPr="006D70BA">
        <w:t>K.</w:t>
      </w:r>
      <w:r w:rsidRPr="006D70BA">
        <w:tab/>
        <w:t>vzhledem k tomu, že EU a Čína vyjednávají od roku 2013 o komplexní dohodě o investicích; vzhledem k tomu, že navrhovaná dohoda by pomohla vyřešit otázky spojené s přístupem na trh, vytvořit rámec pro ochranu investic a stanovit základní pracovní a environmentální normy;</w:t>
      </w:r>
    </w:p>
    <w:p w14:paraId="44F6CB84" w14:textId="745293D2" w:rsidR="00751469" w:rsidRPr="006D70BA" w:rsidRDefault="00751469" w:rsidP="00751469">
      <w:pPr>
        <w:pStyle w:val="Normal12Hanging"/>
      </w:pPr>
      <w:r w:rsidRPr="006D70BA">
        <w:t>L.</w:t>
      </w:r>
      <w:r w:rsidRPr="006D70BA">
        <w:tab/>
        <w:t>vzhledem k tomu, že se objevily důkazy, ačkoliv neprůkazné, ohledně bezpečnostních nedostatků v souvislosti se zařízením poskytnutým dodavateli z třetích zemí, včetně Číny, které by mohly ohrozit práva jednotlivce na soukromí a ochranu citlivých informací v EU;</w:t>
      </w:r>
    </w:p>
    <w:p w14:paraId="4AEA5866" w14:textId="2F3638A1" w:rsidR="00751469" w:rsidRPr="006D70BA" w:rsidRDefault="00751469" w:rsidP="00751469">
      <w:pPr>
        <w:pStyle w:val="Normal12Hanging"/>
      </w:pPr>
      <w:r w:rsidRPr="006D70BA">
        <w:t>1.</w:t>
      </w:r>
      <w:r w:rsidRPr="006D70BA">
        <w:tab/>
        <w:t>zdůrazňuje, že zavedení a komercionalizace sítí 5G by měly být provedeny v souladu se zásadou předběžné opatrnosti a všechny socioekonomické subjekty by měly předjímat bezpečnostní dopady a přijmout přiměřená preventivní opatření, včetně okamžitého sdělení faktorů, které by mohly ohrozit veřejné zdraví nebo životní prostředí;</w:t>
      </w:r>
    </w:p>
    <w:p w14:paraId="1B4E2BE8" w14:textId="0A4D71EF" w:rsidR="00751469" w:rsidRPr="006D70BA" w:rsidRDefault="00751469" w:rsidP="00751469">
      <w:pPr>
        <w:pStyle w:val="Normal12Hanging"/>
      </w:pPr>
      <w:r w:rsidRPr="006D70BA">
        <w:t>2.</w:t>
      </w:r>
      <w:r w:rsidRPr="006D70BA">
        <w:tab/>
        <w:t>zdůrazňuje, že sociální a hospodářské dopady sítí 5G a technologií, které tyto sítě umožňují, počínaje internetem věcí a konče umělou inteligencí, by měly být důkladně posouzeny a že by měla být přijata opatření, která by umožnila přechod na evropskou gigabitovou společnost takovým způsobem, který by byl spravedlivý a zajišťoval rovnost pro všechny a byl založen na etické odpovědnosti;</w:t>
      </w:r>
    </w:p>
    <w:p w14:paraId="20F71782" w14:textId="5CD5D873" w:rsidR="00751469" w:rsidRPr="006D70BA" w:rsidRDefault="00751469" w:rsidP="00751469">
      <w:pPr>
        <w:pStyle w:val="Normal12Hanging"/>
      </w:pPr>
      <w:r w:rsidRPr="006D70BA">
        <w:t>3.</w:t>
      </w:r>
      <w:r w:rsidRPr="006D70BA">
        <w:tab/>
        <w:t>vyzývá Komisi a členské státy, aby vytvořily prostředí vstřícné k inovacím, které umožní prodejcům EU vyvinout nové produkty, služby a technologie, a aby podpořily podnikatelského ducha EU při zavádění a komercionalizaci bezpečných a zabezpečených sítí 5G a současně zajistily, aby byl jejich potenciál dostupný pro všechny podniky v digitálním hospodářství EU, včetně malých a středních podniků;</w:t>
      </w:r>
    </w:p>
    <w:p w14:paraId="424DA0DB" w14:textId="5635A884" w:rsidR="00751469" w:rsidRPr="006D70BA" w:rsidRDefault="00751469" w:rsidP="00751469">
      <w:pPr>
        <w:pStyle w:val="Normal12Hanging"/>
      </w:pPr>
      <w:r w:rsidRPr="006D70BA">
        <w:t>4.</w:t>
      </w:r>
      <w:r w:rsidRPr="006D70BA">
        <w:tab/>
        <w:t>připomíná, že kybernetická bezpečnost je jednou z hlavních výzev, kterým EU v současnosti čelí, a že selhání v této oblasti by mohlo narušit soukromí a základní práva spotřebitelů a výrobců v EU, vážně ohrozit důvěru občanů ve výrobky a služby v oblasti IKT a v konečném důsledku způsobit vážné hospodářské škody; vyzývá k tomu, aby síť měla standardní nastavení bezpečnosti a byla bezpečná již od fáze návrhu;</w:t>
      </w:r>
    </w:p>
    <w:p w14:paraId="3720C81A" w14:textId="57AC7A70" w:rsidR="00751469" w:rsidRPr="006D70BA" w:rsidRDefault="00751469" w:rsidP="00751469">
      <w:pPr>
        <w:pStyle w:val="Normal12Hanging"/>
      </w:pPr>
      <w:r w:rsidRPr="006D70BA">
        <w:t>5.</w:t>
      </w:r>
      <w:r w:rsidRPr="006D70BA">
        <w:tab/>
        <w:t>vyzývá Komisi a členské státy, aby úzce spolupracovaly při provádění strategie kybernetické bezpečnosti EU a aby kombinovaly opatření EU a vnitrostátní opatření s cílem minimalizovat riziko bezpečnostních nedostatků a úniku dat v rámci celého hodnotového řetězce; domnívá se, že tato opatření by mohla zahrnovat certifikaci kybernetické bezpečnosti, požadavky na nastavení a provozní postupy a praxi, jakož i podporu kybernetické hygieny a digitálního vzdělávání;</w:t>
      </w:r>
    </w:p>
    <w:p w14:paraId="7FA95F6A" w14:textId="0F181D94" w:rsidR="00751469" w:rsidRPr="006D70BA" w:rsidRDefault="00751469" w:rsidP="00751469">
      <w:pPr>
        <w:pStyle w:val="Normal12Hanging"/>
      </w:pPr>
      <w:r w:rsidRPr="006D70BA">
        <w:t>6.</w:t>
      </w:r>
      <w:r w:rsidRPr="006D70BA">
        <w:tab/>
        <w:t>je přesvědčen, že agentura EU pro kybernetickou bezpečnost (Agentura Evropské unie pro bezpečnost sítí a informací – ENISA) plní klíčovou úlohu při analyzování možných hrozeb, jež představují zahraniční prodejci, včetně Číny, a při koordinaci společného přístupu mezi členskými státy s cílem bojovat proti hrozbám a útokům v oblasti kybernetické bezpečnosti;</w:t>
      </w:r>
    </w:p>
    <w:p w14:paraId="1FBE5AC6" w14:textId="307390D7" w:rsidR="00751469" w:rsidRPr="006D70BA" w:rsidRDefault="00751469" w:rsidP="00751469">
      <w:pPr>
        <w:pStyle w:val="Normal12Hanging"/>
      </w:pPr>
      <w:r w:rsidRPr="006D70BA">
        <w:t>7.</w:t>
      </w:r>
      <w:r w:rsidRPr="006D70BA">
        <w:tab/>
        <w:t xml:space="preserve">vyzývá Komisi a členské státy, aby rychle provedly balíček týkající se oběhového hospodářství a podpořily řízení surovin v průběhu celého jejich životního cyklu, jakož i </w:t>
      </w:r>
      <w:r w:rsidRPr="006D70BA">
        <w:lastRenderedPageBreak/>
        <w:t>recyklaci odpadu, aby tak zlepšily přístup EU ke kritickým surovinám, které jsou stěžejní pro vyspělé technologické výrobky a pro rodící se inovace;</w:t>
      </w:r>
    </w:p>
    <w:p w14:paraId="64AD1BBE" w14:textId="5C884492" w:rsidR="00751469" w:rsidRPr="006D70BA" w:rsidRDefault="00751469" w:rsidP="00751469">
      <w:pPr>
        <w:pStyle w:val="Normal12Hanging"/>
      </w:pPr>
      <w:r w:rsidRPr="006D70BA">
        <w:t>8.</w:t>
      </w:r>
      <w:r w:rsidRPr="006D70BA">
        <w:tab/>
        <w:t>považuje za naléhavé vypořádat se s možnými technologickými bezpečnostními hrozbami, které představuje současná penetrace trhu EU zahraničními prodejci, včetně Číny, tím, že se uplatní společný přístup k bezpečnosti a ochraně údajů mezi členskými státy;</w:t>
      </w:r>
    </w:p>
    <w:p w14:paraId="600E429B" w14:textId="72BB8547" w:rsidR="00751469" w:rsidRPr="006D70BA" w:rsidRDefault="00751469" w:rsidP="00751469">
      <w:pPr>
        <w:pStyle w:val="Normal12Hanging"/>
      </w:pPr>
      <w:r w:rsidRPr="006D70BA">
        <w:t>9.</w:t>
      </w:r>
      <w:r w:rsidRPr="006D70BA">
        <w:tab/>
        <w:t>vyzývá Komisi a členské státy, aby analyzovaly a monitorovaly bezpečnost těch systémů IKT, v nichž se hojně nacházejí technologie třetích zemí, a to i provedením zátěžových zkoušek;</w:t>
      </w:r>
    </w:p>
    <w:p w14:paraId="1E1E1472" w14:textId="4AF94C89" w:rsidR="00751469" w:rsidRPr="006D70BA" w:rsidRDefault="00751469" w:rsidP="00751469">
      <w:pPr>
        <w:pStyle w:val="Normal12Hanging"/>
      </w:pPr>
      <w:r w:rsidRPr="006D70BA">
        <w:t>10.</w:t>
      </w:r>
      <w:r w:rsidRPr="006D70BA">
        <w:tab/>
        <w:t>zd</w:t>
      </w:r>
      <w:bookmarkStart w:id="0" w:name="_GoBack"/>
      <w:bookmarkEnd w:id="0"/>
      <w:r w:rsidRPr="006D70BA">
        <w:t>ůrazňuje, že dodavatelé ze třetích zemí by neměli být diskriminováni na základě země původu, ale že by měla být zohledněna transparentnost těchto společností, jejich normy v oblasti kybernetické bezpečnosti a existence recipročních podmínek pro evropské podniky v zemi původu, aby se zajistily rovné podmínky;</w:t>
      </w:r>
    </w:p>
    <w:p w14:paraId="03030E9E" w14:textId="139BA50E" w:rsidR="00751469" w:rsidRPr="006D70BA" w:rsidRDefault="00751469" w:rsidP="00751469">
      <w:pPr>
        <w:pStyle w:val="Normal12Hanging"/>
      </w:pPr>
      <w:r w:rsidRPr="006D70BA">
        <w:t>11.</w:t>
      </w:r>
      <w:r w:rsidRPr="006D70BA">
        <w:tab/>
        <w:t xml:space="preserve">zdůrazňuje, že za žádných okolností by dodavatelé a operátoři z Číny nebo ze třetích zemí neměli ohrozit práva jednotlivce zaručená právním řádem EU, a to ani </w:t>
      </w:r>
      <w:r w:rsidR="00BB33BC">
        <w:t>v případě, kdy v</w:t>
      </w:r>
      <w:r w:rsidRPr="006D70BA">
        <w:t xml:space="preserve"> jejich zemi původu platí odlišné požadavky podle vnitrostátního práva;</w:t>
      </w:r>
    </w:p>
    <w:p w14:paraId="27547587" w14:textId="196B48FA" w:rsidR="00751469" w:rsidRPr="006D70BA" w:rsidRDefault="00751469" w:rsidP="00751469">
      <w:pPr>
        <w:pStyle w:val="Normal12Hanging"/>
      </w:pPr>
      <w:r w:rsidRPr="006D70BA">
        <w:t>12.</w:t>
      </w:r>
      <w:r w:rsidRPr="006D70BA">
        <w:tab/>
        <w:t>žádá Radu, aby skutečně zvážila, zda znovu nezahájí diskuse o novém revidovaném návrhu Komise týkajícím se postupu pro omezení přístupu zahraničních výrobků na trh EU s veřejnými zakázkami</w:t>
      </w:r>
      <w:r w:rsidR="00BB33BC">
        <w:t xml:space="preserve"> v případech</w:t>
      </w:r>
      <w:r w:rsidRPr="006D70BA">
        <w:t xml:space="preserve">, </w:t>
      </w:r>
      <w:r w:rsidR="00BB33BC">
        <w:t>kdy neexistuje reciproční přístup</w:t>
      </w:r>
      <w:r w:rsidRPr="006D70BA">
        <w:t>;</w:t>
      </w:r>
    </w:p>
    <w:p w14:paraId="6E2D8360" w14:textId="03FFF52A" w:rsidR="00751469" w:rsidRPr="006D70BA" w:rsidRDefault="00751469" w:rsidP="00751469">
      <w:pPr>
        <w:pStyle w:val="Normal12Hanging"/>
      </w:pPr>
      <w:r w:rsidRPr="006D70BA">
        <w:t>13.</w:t>
      </w:r>
      <w:r w:rsidRPr="006D70BA">
        <w:tab/>
        <w:t>připomíná význam dalšího zlepšení vyjednávání o spolupráci v oblasti regulace digitálních technologií se třetími zeměmi a zajištění jejich větší angažovanosti v mezinárodních normotvorných orgánech;</w:t>
      </w:r>
    </w:p>
    <w:p w14:paraId="6315E7B8" w14:textId="77777777" w:rsidR="00751469" w:rsidRPr="006D70BA" w:rsidRDefault="00751469" w:rsidP="00751469">
      <w:pPr>
        <w:pStyle w:val="Normal12Hanging"/>
      </w:pPr>
      <w:r w:rsidRPr="006D70BA">
        <w:t>14.</w:t>
      </w:r>
      <w:r w:rsidRPr="006D70BA">
        <w:tab/>
        <w:t>pověřuje svého předsedu, aby předal toto usnesení Radě a Komisi.</w:t>
      </w:r>
    </w:p>
    <w:p w14:paraId="5A6762C5" w14:textId="77777777" w:rsidR="00814BC6" w:rsidRPr="006D70BA" w:rsidRDefault="00814BC6" w:rsidP="00751469">
      <w:pPr>
        <w:pStyle w:val="Normal12Hanging"/>
      </w:pPr>
    </w:p>
    <w:sectPr w:rsidR="00814BC6" w:rsidRPr="006D70BA" w:rsidSect="006D70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0A7EB" w14:textId="77777777" w:rsidR="00705196" w:rsidRPr="006D70BA" w:rsidRDefault="00705196">
      <w:r w:rsidRPr="006D70BA">
        <w:separator/>
      </w:r>
    </w:p>
  </w:endnote>
  <w:endnote w:type="continuationSeparator" w:id="0">
    <w:p w14:paraId="714680DF" w14:textId="77777777" w:rsidR="00705196" w:rsidRPr="006D70BA" w:rsidRDefault="00705196">
      <w:r w:rsidRPr="006D70BA">
        <w:continuationSeparator/>
      </w:r>
    </w:p>
  </w:endnote>
  <w:endnote w:type="continuationNotice" w:id="1">
    <w:p w14:paraId="57086444" w14:textId="77777777" w:rsidR="00A57EC0" w:rsidRPr="006D70BA" w:rsidRDefault="00A57E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73E8E" w14:textId="283E142C" w:rsidR="006D70BA" w:rsidRPr="006D70BA" w:rsidRDefault="006D70BA" w:rsidP="006D70BA">
    <w:pPr>
      <w:pStyle w:val="Footer"/>
    </w:pPr>
    <w:r w:rsidRPr="006D70BA">
      <w:t>PE</w:t>
    </w:r>
    <w:r w:rsidRPr="006D70BA">
      <w:rPr>
        <w:rStyle w:val="HideTWBExt"/>
        <w:noProof w:val="0"/>
      </w:rPr>
      <w:t>&lt;NoPE&gt;</w:t>
    </w:r>
    <w:r w:rsidRPr="006D70BA">
      <w:t>635.405</w:t>
    </w:r>
    <w:r w:rsidRPr="006D70BA">
      <w:rPr>
        <w:rStyle w:val="HideTWBExt"/>
        <w:noProof w:val="0"/>
      </w:rPr>
      <w:t>&lt;/NoPE&gt;&lt;Version&gt;</w:t>
    </w:r>
    <w:r w:rsidRPr="006D70BA">
      <w:t>v01-00</w:t>
    </w:r>
    <w:r w:rsidRPr="006D70BA">
      <w:rPr>
        <w:rStyle w:val="HideTWBExt"/>
        <w:noProof w:val="0"/>
      </w:rPr>
      <w:t>&lt;/Version&gt;</w:t>
    </w:r>
    <w:r w:rsidRPr="006D70BA">
      <w:tab/>
    </w:r>
    <w:r w:rsidRPr="006D70BA">
      <w:fldChar w:fldCharType="begin"/>
    </w:r>
    <w:r w:rsidRPr="006D70BA">
      <w:instrText xml:space="preserve"> PAGE  \* MERGEFORMAT </w:instrText>
    </w:r>
    <w:r w:rsidRPr="006D70BA">
      <w:fldChar w:fldCharType="separate"/>
    </w:r>
    <w:r w:rsidR="00A038A0">
      <w:rPr>
        <w:noProof/>
      </w:rPr>
      <w:t>4</w:t>
    </w:r>
    <w:r w:rsidRPr="006D70BA">
      <w:fldChar w:fldCharType="end"/>
    </w:r>
    <w:r w:rsidRPr="006D70BA">
      <w:t>/</w:t>
    </w:r>
    <w:r w:rsidR="00A6218E">
      <w:rPr>
        <w:noProof/>
      </w:rPr>
      <w:fldChar w:fldCharType="begin"/>
    </w:r>
    <w:r w:rsidR="00A6218E">
      <w:rPr>
        <w:noProof/>
      </w:rPr>
      <w:instrText xml:space="preserve"> NUMPAGES  \* MERGEFORMAT </w:instrText>
    </w:r>
    <w:r w:rsidR="00A6218E">
      <w:rPr>
        <w:noProof/>
      </w:rPr>
      <w:fldChar w:fldCharType="separate"/>
    </w:r>
    <w:r w:rsidR="00A038A0">
      <w:rPr>
        <w:noProof/>
      </w:rPr>
      <w:t>5</w:t>
    </w:r>
    <w:r w:rsidR="00A6218E">
      <w:rPr>
        <w:noProof/>
      </w:rPr>
      <w:fldChar w:fldCharType="end"/>
    </w:r>
    <w:r w:rsidRPr="006D70BA">
      <w:tab/>
    </w:r>
    <w:r w:rsidRPr="006D70BA">
      <w:rPr>
        <w:rStyle w:val="HideTWBExt"/>
        <w:noProof w:val="0"/>
      </w:rPr>
      <w:t>&lt;PathFdR&gt;</w:t>
    </w:r>
    <w:r w:rsidRPr="006D70BA">
      <w:t>RE\1178926CS.docx</w:t>
    </w:r>
    <w:r w:rsidRPr="006D70BA">
      <w:rPr>
        <w:rStyle w:val="HideTWBExt"/>
        <w:noProof w:val="0"/>
      </w:rPr>
      <w:t>&lt;/PathFdR&gt;</w:t>
    </w:r>
  </w:p>
  <w:p w14:paraId="36B2FE02" w14:textId="2C5C8CAB" w:rsidR="00A90219" w:rsidRPr="006D70BA" w:rsidRDefault="006D70BA" w:rsidP="006D70BA">
    <w:pPr>
      <w:pStyle w:val="Footer2"/>
    </w:pPr>
    <w:r w:rsidRPr="006D70B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79347" w14:textId="124E6C2A" w:rsidR="006D70BA" w:rsidRPr="006D70BA" w:rsidRDefault="006D70BA" w:rsidP="006D70BA">
    <w:pPr>
      <w:pStyle w:val="Footer"/>
    </w:pPr>
    <w:r w:rsidRPr="006D70BA">
      <w:rPr>
        <w:rStyle w:val="HideTWBExt"/>
        <w:noProof w:val="0"/>
      </w:rPr>
      <w:t>&lt;PathFdR&gt;</w:t>
    </w:r>
    <w:r w:rsidRPr="006D70BA">
      <w:t>RE\1178926CS.docx</w:t>
    </w:r>
    <w:r w:rsidRPr="006D70BA">
      <w:rPr>
        <w:rStyle w:val="HideTWBExt"/>
        <w:noProof w:val="0"/>
      </w:rPr>
      <w:t>&lt;/PathFdR&gt;</w:t>
    </w:r>
    <w:r w:rsidRPr="006D70BA">
      <w:tab/>
    </w:r>
    <w:r w:rsidRPr="006D70BA">
      <w:fldChar w:fldCharType="begin"/>
    </w:r>
    <w:r w:rsidRPr="006D70BA">
      <w:instrText xml:space="preserve"> PAGE  \* MERGEFORMAT </w:instrText>
    </w:r>
    <w:r w:rsidRPr="006D70BA">
      <w:fldChar w:fldCharType="separate"/>
    </w:r>
    <w:r w:rsidR="00A038A0">
      <w:rPr>
        <w:noProof/>
      </w:rPr>
      <w:t>5</w:t>
    </w:r>
    <w:r w:rsidRPr="006D70BA">
      <w:fldChar w:fldCharType="end"/>
    </w:r>
    <w:r w:rsidRPr="006D70BA">
      <w:t>/</w:t>
    </w:r>
    <w:r w:rsidR="00A6218E">
      <w:rPr>
        <w:noProof/>
      </w:rPr>
      <w:fldChar w:fldCharType="begin"/>
    </w:r>
    <w:r w:rsidR="00A6218E">
      <w:rPr>
        <w:noProof/>
      </w:rPr>
      <w:instrText xml:space="preserve"> NUMPAGES  \* MERGEFORMAT </w:instrText>
    </w:r>
    <w:r w:rsidR="00A6218E">
      <w:rPr>
        <w:noProof/>
      </w:rPr>
      <w:fldChar w:fldCharType="separate"/>
    </w:r>
    <w:r w:rsidR="00A038A0">
      <w:rPr>
        <w:noProof/>
      </w:rPr>
      <w:t>5</w:t>
    </w:r>
    <w:r w:rsidR="00A6218E">
      <w:rPr>
        <w:noProof/>
      </w:rPr>
      <w:fldChar w:fldCharType="end"/>
    </w:r>
    <w:r w:rsidRPr="006D70BA">
      <w:tab/>
      <w:t>PE</w:t>
    </w:r>
    <w:r w:rsidRPr="006D70BA">
      <w:rPr>
        <w:rStyle w:val="HideTWBExt"/>
        <w:noProof w:val="0"/>
      </w:rPr>
      <w:t>&lt;NoPE&gt;</w:t>
    </w:r>
    <w:r w:rsidRPr="006D70BA">
      <w:t>635.405</w:t>
    </w:r>
    <w:r w:rsidRPr="006D70BA">
      <w:rPr>
        <w:rStyle w:val="HideTWBExt"/>
        <w:noProof w:val="0"/>
      </w:rPr>
      <w:t>&lt;/NoPE&gt;&lt;Version&gt;</w:t>
    </w:r>
    <w:r w:rsidRPr="006D70BA">
      <w:t>v01-00</w:t>
    </w:r>
    <w:r w:rsidRPr="006D70BA">
      <w:rPr>
        <w:rStyle w:val="HideTWBExt"/>
        <w:noProof w:val="0"/>
      </w:rPr>
      <w:t>&lt;/Version&gt;</w:t>
    </w:r>
  </w:p>
  <w:p w14:paraId="4FC07BE1" w14:textId="7768D035" w:rsidR="00A90219" w:rsidRPr="006D70BA" w:rsidRDefault="006D70BA" w:rsidP="006D70BA">
    <w:pPr>
      <w:pStyle w:val="Footer2"/>
    </w:pPr>
    <w:r w:rsidRPr="006D70B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FAA52" w14:textId="77777777" w:rsidR="006D70BA" w:rsidRPr="006D70BA" w:rsidRDefault="006D70BA" w:rsidP="006D70BA">
    <w:pPr>
      <w:pStyle w:val="Footer"/>
    </w:pPr>
    <w:r w:rsidRPr="006D70BA">
      <w:rPr>
        <w:rStyle w:val="HideTWBExt"/>
        <w:noProof w:val="0"/>
      </w:rPr>
      <w:t>&lt;PathFdR&gt;</w:t>
    </w:r>
    <w:r w:rsidRPr="006D70BA">
      <w:t>RE\1178926CS.docx</w:t>
    </w:r>
    <w:r w:rsidRPr="006D70BA">
      <w:rPr>
        <w:rStyle w:val="HideTWBExt"/>
        <w:noProof w:val="0"/>
      </w:rPr>
      <w:t>&lt;/PathFdR&gt;</w:t>
    </w:r>
    <w:r w:rsidRPr="006D70BA">
      <w:tab/>
    </w:r>
    <w:r w:rsidRPr="006D70BA">
      <w:tab/>
      <w:t>PE</w:t>
    </w:r>
    <w:r w:rsidRPr="006D70BA">
      <w:rPr>
        <w:rStyle w:val="HideTWBExt"/>
        <w:noProof w:val="0"/>
      </w:rPr>
      <w:t>&lt;NoPE&gt;</w:t>
    </w:r>
    <w:r w:rsidRPr="006D70BA">
      <w:t>635.405</w:t>
    </w:r>
    <w:r w:rsidRPr="006D70BA">
      <w:rPr>
        <w:rStyle w:val="HideTWBExt"/>
        <w:noProof w:val="0"/>
      </w:rPr>
      <w:t>&lt;/NoPE&gt;&lt;Version&gt;</w:t>
    </w:r>
    <w:r w:rsidRPr="006D70BA">
      <w:t>v01-00</w:t>
    </w:r>
    <w:r w:rsidRPr="006D70BA">
      <w:rPr>
        <w:rStyle w:val="HideTWBExt"/>
        <w:noProof w:val="0"/>
      </w:rPr>
      <w:t>&lt;/Version&gt;</w:t>
    </w:r>
  </w:p>
  <w:p w14:paraId="08EE1624" w14:textId="19ECE3DC" w:rsidR="00A90219" w:rsidRPr="006D70BA" w:rsidRDefault="006D70BA" w:rsidP="006D70BA">
    <w:pPr>
      <w:pStyle w:val="Footer2"/>
      <w:tabs>
        <w:tab w:val="center" w:pos="4535"/>
      </w:tabs>
    </w:pPr>
    <w:r w:rsidRPr="006D70BA">
      <w:t>CS</w:t>
    </w:r>
    <w:r w:rsidRPr="006D70BA">
      <w:tab/>
    </w:r>
    <w:r w:rsidRPr="006D70BA">
      <w:rPr>
        <w:b w:val="0"/>
        <w:i/>
        <w:color w:val="C0C0C0"/>
        <w:sz w:val="22"/>
      </w:rPr>
      <w:t>Jednotná v rozmanitosti</w:t>
    </w:r>
    <w:r w:rsidRPr="006D70BA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774CB" w14:textId="77777777" w:rsidR="00705196" w:rsidRPr="006D70BA" w:rsidRDefault="00705196">
      <w:r w:rsidRPr="006D70BA">
        <w:separator/>
      </w:r>
    </w:p>
  </w:footnote>
  <w:footnote w:type="continuationSeparator" w:id="0">
    <w:p w14:paraId="0942CF9E" w14:textId="77777777" w:rsidR="00705196" w:rsidRPr="006D70BA" w:rsidRDefault="00705196">
      <w:r w:rsidRPr="006D70BA">
        <w:continuationSeparator/>
      </w:r>
    </w:p>
  </w:footnote>
  <w:footnote w:type="continuationNotice" w:id="1">
    <w:p w14:paraId="684E5A23" w14:textId="77777777" w:rsidR="00A57EC0" w:rsidRPr="006D70BA" w:rsidRDefault="00A57EC0"/>
  </w:footnote>
  <w:footnote w:id="2">
    <w:p w14:paraId="2D063A7D" w14:textId="77777777" w:rsidR="00A57EC0" w:rsidRPr="006D70BA" w:rsidRDefault="00A57EC0">
      <w:pPr>
        <w:pStyle w:val="FootnoteText"/>
      </w:pPr>
      <w:r w:rsidRPr="006D70BA">
        <w:rPr>
          <w:rStyle w:val="FootnoteReference"/>
        </w:rPr>
        <w:footnoteRef/>
      </w:r>
      <w:r w:rsidRPr="006D70BA">
        <w:t xml:space="preserve"> Úř. věst. L 194, 19.7.2016, s. 1.</w:t>
      </w:r>
    </w:p>
  </w:footnote>
  <w:footnote w:id="3">
    <w:p w14:paraId="62FEA6B9" w14:textId="77777777" w:rsidR="00A57EC0" w:rsidRPr="006D70BA" w:rsidRDefault="00A57EC0">
      <w:pPr>
        <w:pStyle w:val="FootnoteText"/>
      </w:pPr>
      <w:r w:rsidRPr="006D70BA">
        <w:rPr>
          <w:rStyle w:val="FootnoteReference"/>
        </w:rPr>
        <w:footnoteRef/>
      </w:r>
      <w:r w:rsidRPr="006D70BA">
        <w:t xml:space="preserve"> Úř. věst. L 321, 17.12.2018, s. 36.</w:t>
      </w:r>
    </w:p>
  </w:footnote>
  <w:footnote w:id="4">
    <w:p w14:paraId="5E4EF4D3" w14:textId="77777777" w:rsidR="00A57EC0" w:rsidRPr="006D70BA" w:rsidRDefault="00A57EC0">
      <w:pPr>
        <w:pStyle w:val="FootnoteText"/>
      </w:pPr>
      <w:r w:rsidRPr="006D70BA">
        <w:rPr>
          <w:rStyle w:val="FootnoteReference"/>
        </w:rPr>
        <w:footnoteRef/>
      </w:r>
      <w:r w:rsidRPr="006D70BA">
        <w:t xml:space="preserve"> Přijaté texty, P8_TA(2019)0121.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5A100" w14:textId="77777777" w:rsidR="004B5BA2" w:rsidRDefault="004B5B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21A07" w14:textId="77777777" w:rsidR="004B5BA2" w:rsidRDefault="004B5B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A4EA" w14:textId="77777777" w:rsidR="004B5BA2" w:rsidRDefault="004B5B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OCTYPEMNU" w:val=" 2"/>
    <w:docVar w:name="LastEditedSection" w:val=" 1"/>
    <w:docVar w:name="STATMNU" w:val=" 7"/>
    <w:docVar w:name="strDocTypeID" w:val="RE_Statements"/>
    <w:docVar w:name="strSubDir" w:val="1178"/>
    <w:docVar w:name="TXTLANGUE" w:val="CS"/>
    <w:docVar w:name="TXTLANGUEMIN" w:val="cs"/>
    <w:docVar w:name="TXTNRB" w:val="0153/2019"/>
    <w:docVar w:name="TXTNRPE" w:val="635.405"/>
    <w:docVar w:name="TXTNRRSP" w:val="2019/2575"/>
    <w:docVar w:name="TXTPEorAP" w:val="PE"/>
    <w:docVar w:name="TXTROUTE" w:val="RE\1178926CS.docx"/>
    <w:docVar w:name="TXTTITLE" w:val="the security threats connected with the rising of Chinese technological presence in the EU and possible action on the EU level to reduce them"/>
    <w:docVar w:name="TXTVERSION" w:val="01-00"/>
  </w:docVars>
  <w:rsids>
    <w:rsidRoot w:val="00705196"/>
    <w:rsid w:val="00014ECA"/>
    <w:rsid w:val="00037F46"/>
    <w:rsid w:val="00055DBE"/>
    <w:rsid w:val="000715F5"/>
    <w:rsid w:val="00094DDA"/>
    <w:rsid w:val="000B25D8"/>
    <w:rsid w:val="001B49A3"/>
    <w:rsid w:val="001C2B16"/>
    <w:rsid w:val="001C62C5"/>
    <w:rsid w:val="00211067"/>
    <w:rsid w:val="002574AA"/>
    <w:rsid w:val="002C7767"/>
    <w:rsid w:val="00303413"/>
    <w:rsid w:val="003772FA"/>
    <w:rsid w:val="003F0A8E"/>
    <w:rsid w:val="00443A48"/>
    <w:rsid w:val="004B5BA2"/>
    <w:rsid w:val="0058312A"/>
    <w:rsid w:val="00675DB7"/>
    <w:rsid w:val="00697E07"/>
    <w:rsid w:val="006D70BA"/>
    <w:rsid w:val="00705196"/>
    <w:rsid w:val="00706BC0"/>
    <w:rsid w:val="00723A0B"/>
    <w:rsid w:val="00751469"/>
    <w:rsid w:val="00780A7D"/>
    <w:rsid w:val="00781317"/>
    <w:rsid w:val="00814BC6"/>
    <w:rsid w:val="00887033"/>
    <w:rsid w:val="008A4052"/>
    <w:rsid w:val="008D3B26"/>
    <w:rsid w:val="00907285"/>
    <w:rsid w:val="00A038A0"/>
    <w:rsid w:val="00A25237"/>
    <w:rsid w:val="00A57EC0"/>
    <w:rsid w:val="00A6218E"/>
    <w:rsid w:val="00A90219"/>
    <w:rsid w:val="00B34A46"/>
    <w:rsid w:val="00B73E4E"/>
    <w:rsid w:val="00BB33BC"/>
    <w:rsid w:val="00C23264"/>
    <w:rsid w:val="00CC09D8"/>
    <w:rsid w:val="00D12F64"/>
    <w:rsid w:val="00D321B7"/>
    <w:rsid w:val="00D56093"/>
    <w:rsid w:val="00D900F4"/>
    <w:rsid w:val="00D90D37"/>
    <w:rsid w:val="00E53167"/>
    <w:rsid w:val="00E72520"/>
    <w:rsid w:val="00F26DE8"/>
    <w:rsid w:val="00F35503"/>
    <w:rsid w:val="00F4455A"/>
    <w:rsid w:val="00F959BA"/>
    <w:rsid w:val="00FA4C98"/>
    <w:rsid w:val="00FA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D59DA2"/>
  <w15:chartTrackingRefBased/>
  <w15:docId w15:val="{B493BB34-13CF-4766-B231-7B49C189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CoverBold">
    <w:name w:val="CoverBold"/>
    <w:basedOn w:val="CoverNormal"/>
    <w:rsid w:val="002574AA"/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EntPE">
    <w:name w:val="EntPE"/>
    <w:basedOn w:val="Normal12"/>
    <w:pPr>
      <w:jc w:val="center"/>
    </w:pPr>
    <w:rPr>
      <w:sz w:val="56"/>
    </w:rPr>
  </w:style>
  <w:style w:type="paragraph" w:customStyle="1" w:styleId="Hanging12">
    <w:name w:val="Hanging12"/>
    <w:basedOn w:val="Normal12"/>
    <w:pPr>
      <w:tabs>
        <w:tab w:val="left" w:pos="357"/>
      </w:tabs>
      <w:ind w:left="357" w:hanging="357"/>
    </w:pPr>
  </w:style>
  <w:style w:type="paragraph" w:customStyle="1" w:styleId="Normal12a12bBold">
    <w:name w:val="Normal12a12bBold"/>
    <w:basedOn w:val="Normal12a12b"/>
    <w:rPr>
      <w:b/>
    </w:rPr>
  </w:style>
  <w:style w:type="paragraph" w:customStyle="1" w:styleId="Normal12a12bJ">
    <w:name w:val="Normal12a12bJ"/>
    <w:basedOn w:val="Normal12a12b"/>
    <w:pPr>
      <w:jc w:val="both"/>
    </w:pPr>
  </w:style>
  <w:style w:type="paragraph" w:customStyle="1" w:styleId="Normal12a12bKeep">
    <w:name w:val="Normal12a12bKeep"/>
    <w:basedOn w:val="Normal12a12b"/>
    <w:pPr>
      <w:keepNext/>
    </w:pPr>
  </w:style>
  <w:style w:type="paragraph" w:customStyle="1" w:styleId="Normal12BoldKeep">
    <w:name w:val="Normal12BoldKeep"/>
    <w:basedOn w:val="Normal12"/>
    <w:pPr>
      <w:keepNext/>
    </w:pPr>
    <w:rPr>
      <w:b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12ItalicKeep">
    <w:name w:val="Normal12ItalicKeep"/>
    <w:basedOn w:val="Normal12"/>
    <w:pPr>
      <w:keepNext/>
    </w:pPr>
    <w:rPr>
      <w:i/>
    </w:rPr>
  </w:style>
  <w:style w:type="paragraph" w:customStyle="1" w:styleId="Normal12J">
    <w:name w:val="Normal12J"/>
    <w:basedOn w:val="Normal12"/>
    <w:pPr>
      <w:jc w:val="both"/>
    </w:pPr>
  </w:style>
  <w:style w:type="paragraph" w:customStyle="1" w:styleId="Normal12Keep">
    <w:name w:val="Normal12Keep"/>
    <w:basedOn w:val="Normal12"/>
    <w:pPr>
      <w:keepNext/>
    </w:pPr>
  </w:style>
  <w:style w:type="paragraph" w:customStyle="1" w:styleId="Normal12Tab">
    <w:name w:val="Normal12Tab"/>
    <w:basedOn w:val="Normal12"/>
    <w:rsid w:val="001B49A3"/>
    <w:pPr>
      <w:tabs>
        <w:tab w:val="left" w:pos="567"/>
      </w:tabs>
    </w:pPr>
  </w:style>
  <w:style w:type="paragraph" w:customStyle="1" w:styleId="Normal30Keep">
    <w:name w:val="Normal30Keep"/>
    <w:basedOn w:val="Normal"/>
    <w:pPr>
      <w:keepNext/>
      <w:spacing w:after="600"/>
    </w:pPr>
  </w:style>
  <w:style w:type="paragraph" w:customStyle="1" w:styleId="Normal36Bold">
    <w:name w:val="Normal36Bold"/>
    <w:basedOn w:val="Normal"/>
    <w:pPr>
      <w:spacing w:after="720"/>
    </w:pPr>
    <w:rPr>
      <w:b/>
    </w:r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NormalBoldKeep">
    <w:name w:val="NormalBoldKeep"/>
    <w:basedOn w:val="Normal"/>
    <w:pPr>
      <w:keepNext/>
    </w:pPr>
    <w:rPr>
      <w:b/>
    </w:rPr>
  </w:style>
  <w:style w:type="paragraph" w:customStyle="1" w:styleId="NormalCentre">
    <w:name w:val="NormalCentre"/>
    <w:basedOn w:val="Normal"/>
    <w:pPr>
      <w:jc w:val="center"/>
    </w:pPr>
  </w:style>
  <w:style w:type="paragraph" w:customStyle="1" w:styleId="NormalCentreKeep">
    <w:name w:val="NormalCentreKeep"/>
    <w:basedOn w:val="Normal"/>
    <w:pPr>
      <w:keepNext/>
      <w:jc w:val="center"/>
    </w:pPr>
  </w:style>
  <w:style w:type="paragraph" w:customStyle="1" w:styleId="NormalJ">
    <w:name w:val="NormalJ"/>
    <w:basedOn w:val="Normal"/>
    <w:pPr>
      <w:jc w:val="both"/>
    </w:pPr>
  </w:style>
  <w:style w:type="paragraph" w:customStyle="1" w:styleId="NormalKeep">
    <w:name w:val="NormalKeep"/>
    <w:basedOn w:val="Normal"/>
    <w:pPr>
      <w:keepNext/>
    </w:p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Res">
    <w:name w:val="ZDateRes"/>
    <w:basedOn w:val="Normal"/>
    <w:pPr>
      <w:tabs>
        <w:tab w:val="right" w:pos="9072"/>
      </w:tabs>
      <w:spacing w:before="1920" w:after="12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53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al"/>
    <w:next w:val="Normal"/>
    <w:rsid w:val="00E531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SessionDoc"/>
    <w:rsid w:val="00E53167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094DDA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Normal24Bold">
    <w:name w:val="Normal24Bold"/>
    <w:basedOn w:val="Normal"/>
    <w:rsid w:val="00C23264"/>
    <w:pPr>
      <w:spacing w:after="480"/>
    </w:pPr>
    <w:rPr>
      <w:b/>
    </w:rPr>
  </w:style>
  <w:style w:type="paragraph" w:customStyle="1" w:styleId="EPName">
    <w:name w:val="EPName"/>
    <w:basedOn w:val="Normal"/>
    <w:rsid w:val="00706BC0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06BC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06BC0"/>
    <w:pPr>
      <w:jc w:val="right"/>
    </w:pPr>
  </w:style>
  <w:style w:type="paragraph" w:customStyle="1" w:styleId="RefProc">
    <w:name w:val="RefProc"/>
    <w:basedOn w:val="Normal"/>
    <w:rsid w:val="00094DDA"/>
    <w:pPr>
      <w:spacing w:before="240" w:after="240"/>
      <w:jc w:val="right"/>
    </w:pPr>
    <w:rPr>
      <w:rFonts w:ascii="Arial" w:hAnsi="Arial"/>
      <w:b/>
    </w:rPr>
  </w:style>
  <w:style w:type="paragraph" w:customStyle="1" w:styleId="ZDate">
    <w:name w:val="ZDate"/>
    <w:basedOn w:val="Normal"/>
    <w:rsid w:val="00094DDA"/>
    <w:pPr>
      <w:spacing w:after="1200"/>
    </w:pPr>
  </w:style>
  <w:style w:type="paragraph" w:styleId="FootnoteText">
    <w:name w:val="footnote text"/>
    <w:basedOn w:val="Normal"/>
    <w:link w:val="FootnoteTextChar"/>
    <w:rsid w:val="00A57EC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A57EC0"/>
  </w:style>
  <w:style w:type="character" w:styleId="FootnoteReference">
    <w:name w:val="footnote reference"/>
    <w:basedOn w:val="DefaultParagraphFont"/>
    <w:rsid w:val="00A57EC0"/>
    <w:rPr>
      <w:vertAlign w:val="superscript"/>
    </w:rPr>
  </w:style>
  <w:style w:type="paragraph" w:styleId="BalloonText">
    <w:name w:val="Balloon Text"/>
    <w:basedOn w:val="Normal"/>
    <w:link w:val="BalloonTextChar"/>
    <w:rsid w:val="00A57E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7E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0B25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25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25D8"/>
  </w:style>
  <w:style w:type="paragraph" w:styleId="CommentSubject">
    <w:name w:val="annotation subject"/>
    <w:basedOn w:val="CommentText"/>
    <w:next w:val="CommentText"/>
    <w:link w:val="CommentSubjectChar"/>
    <w:rsid w:val="000B25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2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1504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RE_Statements</vt:lpstr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RE_Statements</dc:title>
  <dc:subject/>
  <dc:creator>LUTOVS Vladimirs</dc:creator>
  <cp:keywords/>
  <dc:description/>
  <cp:lastModifiedBy>GALDOVA Katerina</cp:lastModifiedBy>
  <cp:revision>2</cp:revision>
  <cp:lastPrinted>2019-03-07T12:03:00Z</cp:lastPrinted>
  <dcterms:created xsi:type="dcterms:W3CDTF">2019-03-08T15:08:00Z</dcterms:created>
  <dcterms:modified xsi:type="dcterms:W3CDTF">2019-03-08T15:08:00Z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9.5.1 Build [20181101]</vt:lpwstr>
  </property>
  <property fmtid="{D5CDD505-2E9C-101B-9397-08002B2CF9AE}" pid="3" name="LastEdited with">
    <vt:lpwstr>9.5.1 Build [20181101]</vt:lpwstr>
  </property>
  <property fmtid="{D5CDD505-2E9C-101B-9397-08002B2CF9AE}" pid="4" name="&lt;FdR&gt;">
    <vt:lpwstr>1178926</vt:lpwstr>
  </property>
  <property fmtid="{D5CDD505-2E9C-101B-9397-08002B2CF9AE}" pid="5" name="&lt;Type&gt;">
    <vt:lpwstr>RE</vt:lpwstr>
  </property>
  <property fmtid="{D5CDD505-2E9C-101B-9397-08002B2CF9AE}" pid="6" name="&lt;ModelCod&gt;">
    <vt:lpwstr>\\eiciLUXpr1\pdocep$\DocEP\DOCS\General\RE\RE_Statements.dot(06/02/2019 07:45:09)</vt:lpwstr>
  </property>
  <property fmtid="{D5CDD505-2E9C-101B-9397-08002B2CF9AE}" pid="7" name="&lt;ModelTra&gt;">
    <vt:lpwstr>\\eiciLUXpr1\pdocep$\DocEP\TRANSFIL\EN\RE_Statements.EN(05/11/2018 12:05:05)</vt:lpwstr>
  </property>
  <property fmtid="{D5CDD505-2E9C-101B-9397-08002B2CF9AE}" pid="8" name="&lt;Model&gt;">
    <vt:lpwstr>RE_Statements</vt:lpwstr>
  </property>
  <property fmtid="{D5CDD505-2E9C-101B-9397-08002B2CF9AE}" pid="9" name="FooterPath">
    <vt:lpwstr>RE\1178926CS.docx</vt:lpwstr>
  </property>
  <property fmtid="{D5CDD505-2E9C-101B-9397-08002B2CF9AE}" pid="10" name="PE number">
    <vt:lpwstr>635.405</vt:lpwstr>
  </property>
  <property fmtid="{D5CDD505-2E9C-101B-9397-08002B2CF9AE}" pid="11" name="Bookout">
    <vt:lpwstr>OK - 2019/03/08 15:47</vt:lpwstr>
  </property>
  <property fmtid="{D5CDD505-2E9C-101B-9397-08002B2CF9AE}" pid="12" name="SubscribeElise">
    <vt:lpwstr/>
  </property>
  <property fmtid="{D5CDD505-2E9C-101B-9397-08002B2CF9AE}" pid="13" name="SDLStudio">
    <vt:lpwstr/>
  </property>
  <property fmtid="{D5CDD505-2E9C-101B-9397-08002B2CF9AE}" pid="14" name="&lt;Extension&gt;">
    <vt:lpwstr>CS</vt:lpwstr>
  </property>
</Properties>
</file>