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06BC0" w:rsidRPr="004B52A7" w14:paraId="186E490F" w14:textId="77777777" w:rsidTr="00F26DE8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B181DC" w14:textId="77777777" w:rsidR="00706BC0" w:rsidRPr="004B52A7" w:rsidRDefault="00705196" w:rsidP="00F26DE8">
            <w:pPr>
              <w:pStyle w:val="EPName"/>
            </w:pPr>
            <w:bookmarkStart w:id="0" w:name="_GoBack"/>
            <w:bookmarkEnd w:id="0"/>
            <w:r w:rsidRPr="004B52A7">
              <w:t>Parlament Europejski</w:t>
            </w:r>
          </w:p>
          <w:p w14:paraId="4BCF8C71" w14:textId="77777777" w:rsidR="00706BC0" w:rsidRPr="004B52A7" w:rsidRDefault="00751469" w:rsidP="0075146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52A7">
              <w:t>2014-2019</w:t>
            </w:r>
          </w:p>
        </w:tc>
        <w:tc>
          <w:tcPr>
            <w:tcW w:w="2268" w:type="dxa"/>
            <w:shd w:val="clear" w:color="auto" w:fill="auto"/>
          </w:tcPr>
          <w:p w14:paraId="744BBBBD" w14:textId="77777777" w:rsidR="00706BC0" w:rsidRPr="004B52A7" w:rsidRDefault="004B52A7" w:rsidP="00F26DE8">
            <w:pPr>
              <w:pStyle w:val="EPLogo"/>
            </w:pPr>
            <w:r w:rsidRPr="004B52A7">
              <w:pict w14:anchorId="4B4513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8pt;height:50.4pt">
                  <v:imagedata r:id="rId7" o:title="EP logo RGB_Mute"/>
                </v:shape>
              </w:pict>
            </w:r>
          </w:p>
        </w:tc>
      </w:tr>
    </w:tbl>
    <w:p w14:paraId="59F5809E" w14:textId="77777777" w:rsidR="00E53167" w:rsidRPr="004B52A7" w:rsidRDefault="00E53167" w:rsidP="00E53167">
      <w:pPr>
        <w:pStyle w:val="LineTop"/>
      </w:pPr>
    </w:p>
    <w:p w14:paraId="3A5401C5" w14:textId="77777777" w:rsidR="00E53167" w:rsidRPr="004B52A7" w:rsidRDefault="00751469" w:rsidP="00E53167">
      <w:pPr>
        <w:pStyle w:val="ZSessionDoc"/>
      </w:pPr>
      <w:r w:rsidRPr="004B52A7">
        <w:t>Dokument z posiedzenia</w:t>
      </w:r>
    </w:p>
    <w:p w14:paraId="43D4AA46" w14:textId="77777777" w:rsidR="00094DDA" w:rsidRPr="004B52A7" w:rsidRDefault="00094DDA" w:rsidP="00094DDA">
      <w:pPr>
        <w:pStyle w:val="LineBottom"/>
      </w:pPr>
    </w:p>
    <w:p w14:paraId="509512C0" w14:textId="77777777" w:rsidR="00094DDA" w:rsidRPr="004B52A7" w:rsidRDefault="00094DDA" w:rsidP="00094DDA">
      <w:pPr>
        <w:pStyle w:val="RefProc"/>
      </w:pPr>
      <w:r w:rsidRPr="004B52A7">
        <w:rPr>
          <w:rStyle w:val="HideTWBExt"/>
          <w:b w:val="0"/>
          <w:noProof w:val="0"/>
        </w:rPr>
        <w:t>&lt;NoDocSe&gt;</w:t>
      </w:r>
      <w:r w:rsidRPr="004B52A7">
        <w:t>B8</w:t>
      </w:r>
      <w:r w:rsidRPr="004B52A7">
        <w:noBreakHyphen/>
        <w:t>0153/2019</w:t>
      </w:r>
      <w:r w:rsidRPr="004B52A7">
        <w:rPr>
          <w:rStyle w:val="HideTWBExt"/>
          <w:b w:val="0"/>
          <w:noProof w:val="0"/>
        </w:rPr>
        <w:t>&lt;/NoDocSe&gt;</w:t>
      </w:r>
    </w:p>
    <w:p w14:paraId="01FD28FE" w14:textId="77777777" w:rsidR="00094DDA" w:rsidRPr="004B52A7" w:rsidRDefault="00094DDA" w:rsidP="00094DDA">
      <w:pPr>
        <w:pStyle w:val="ZDate"/>
      </w:pPr>
      <w:r w:rsidRPr="004B52A7">
        <w:rPr>
          <w:rStyle w:val="HideTWBExt"/>
          <w:noProof w:val="0"/>
        </w:rPr>
        <w:t>&lt;Date&gt;</w:t>
      </w:r>
      <w:r w:rsidRPr="004B52A7">
        <w:rPr>
          <w:rStyle w:val="HideTWBInt"/>
        </w:rPr>
        <w:t>{06/03/2019}</w:t>
      </w:r>
      <w:r w:rsidRPr="004B52A7">
        <w:t>6.3.2019</w:t>
      </w:r>
      <w:r w:rsidRPr="004B52A7">
        <w:rPr>
          <w:rStyle w:val="HideTWBExt"/>
          <w:noProof w:val="0"/>
        </w:rPr>
        <w:t>&lt;/Date&gt;</w:t>
      </w:r>
    </w:p>
    <w:p w14:paraId="681A588F" w14:textId="77777777" w:rsidR="00814BC6" w:rsidRPr="004B52A7" w:rsidRDefault="00814BC6">
      <w:pPr>
        <w:pStyle w:val="TypeDoc"/>
      </w:pPr>
      <w:r w:rsidRPr="004B52A7">
        <w:rPr>
          <w:rStyle w:val="HideTWBExt"/>
          <w:b w:val="0"/>
          <w:noProof w:val="0"/>
        </w:rPr>
        <w:t>&lt;TitreType&gt;</w:t>
      </w:r>
      <w:r w:rsidRPr="004B52A7">
        <w:t>PROJEKT REZOLUCJI</w:t>
      </w:r>
      <w:r w:rsidRPr="004B52A7">
        <w:rPr>
          <w:rStyle w:val="HideTWBExt"/>
          <w:b w:val="0"/>
          <w:noProof w:val="0"/>
        </w:rPr>
        <w:t>&lt;/TitreType&gt;</w:t>
      </w:r>
    </w:p>
    <w:p w14:paraId="55C4604F" w14:textId="77777777" w:rsidR="00814BC6" w:rsidRPr="004B52A7" w:rsidRDefault="00814BC6">
      <w:pPr>
        <w:pStyle w:val="Cover12"/>
      </w:pPr>
      <w:r w:rsidRPr="004B52A7">
        <w:rPr>
          <w:rStyle w:val="HideTWBExt"/>
          <w:noProof w:val="0"/>
        </w:rPr>
        <w:t>&lt;TitreSuite&gt;</w:t>
      </w:r>
      <w:r w:rsidRPr="004B52A7">
        <w:t>złożony w następstwie oświadczeń Rady i Komisji</w:t>
      </w:r>
      <w:r w:rsidRPr="004B52A7">
        <w:rPr>
          <w:rStyle w:val="HideTWBExt"/>
          <w:noProof w:val="0"/>
        </w:rPr>
        <w:t>&lt;/TitreSuite&gt;</w:t>
      </w:r>
    </w:p>
    <w:p w14:paraId="69AF98EE" w14:textId="77777777" w:rsidR="00814BC6" w:rsidRPr="004B52A7" w:rsidRDefault="00814BC6">
      <w:pPr>
        <w:pStyle w:val="Cover12"/>
      </w:pPr>
      <w:r w:rsidRPr="004B52A7">
        <w:rPr>
          <w:rStyle w:val="HideTWBExt"/>
          <w:noProof w:val="0"/>
        </w:rPr>
        <w:t>&lt;TitreRecueil&gt;</w:t>
      </w:r>
      <w:r w:rsidRPr="004B52A7">
        <w:t>zgodnie z art. 123 ust. 2 Regulaminu</w:t>
      </w:r>
      <w:r w:rsidRPr="004B52A7">
        <w:rPr>
          <w:rStyle w:val="HideTWBExt"/>
          <w:noProof w:val="0"/>
        </w:rPr>
        <w:t>&lt;/TitreRecueil&gt;</w:t>
      </w:r>
    </w:p>
    <w:p w14:paraId="108AC153" w14:textId="0E964836" w:rsidR="00C23264" w:rsidRPr="004B52A7" w:rsidRDefault="00C23264" w:rsidP="00C23264">
      <w:pPr>
        <w:pStyle w:val="CoverNormal"/>
      </w:pPr>
      <w:r w:rsidRPr="004B52A7">
        <w:rPr>
          <w:rStyle w:val="HideTWBExt"/>
          <w:noProof w:val="0"/>
        </w:rPr>
        <w:t>&lt;Titre&gt;</w:t>
      </w:r>
      <w:r w:rsidRPr="004B52A7">
        <w:t>w sprawie zagrożeń dla bezpieczeństwa wynikających z rosnącej obecności technologicznej Chin w UE oraz możliwości podjęcia na szczeblu UE działań mających zmniejszyć te zagrożenia</w:t>
      </w:r>
      <w:r w:rsidRPr="004B52A7">
        <w:rPr>
          <w:rStyle w:val="HideTWBExt"/>
          <w:noProof w:val="0"/>
        </w:rPr>
        <w:t>&lt;/Titre&gt;</w:t>
      </w:r>
    </w:p>
    <w:p w14:paraId="36273EFB" w14:textId="77777777" w:rsidR="00C23264" w:rsidRPr="004B52A7" w:rsidRDefault="00C23264" w:rsidP="00C23264">
      <w:pPr>
        <w:pStyle w:val="Cover24"/>
      </w:pPr>
      <w:r w:rsidRPr="004B52A7">
        <w:rPr>
          <w:rStyle w:val="HideTWBExt"/>
          <w:noProof w:val="0"/>
        </w:rPr>
        <w:t>&lt;DocRef&gt;</w:t>
      </w:r>
      <w:r w:rsidRPr="004B52A7">
        <w:t>(2019/2575(RSP))</w:t>
      </w:r>
      <w:r w:rsidRPr="004B52A7">
        <w:rPr>
          <w:rStyle w:val="HideTWBExt"/>
          <w:noProof w:val="0"/>
        </w:rPr>
        <w:t>&lt;/DocRef&gt;</w:t>
      </w:r>
    </w:p>
    <w:p w14:paraId="1AA7F502" w14:textId="77777777" w:rsidR="002574AA" w:rsidRPr="004B52A7" w:rsidRDefault="002574AA" w:rsidP="002574AA">
      <w:pPr>
        <w:pStyle w:val="CoverBold"/>
      </w:pPr>
      <w:r w:rsidRPr="004B52A7">
        <w:rPr>
          <w:rStyle w:val="HideTWBExt"/>
          <w:b w:val="0"/>
          <w:noProof w:val="0"/>
        </w:rPr>
        <w:t>&lt;RepeatBlock-By&gt;&lt;Depute&gt;</w:t>
      </w:r>
      <w:r w:rsidRPr="004B52A7">
        <w:t>Tiziana Beghin, Dario Tamburrano, Isabella Adinolfi, Rolandas Paksas</w:t>
      </w:r>
      <w:r w:rsidRPr="004B52A7">
        <w:rPr>
          <w:rStyle w:val="HideTWBExt"/>
          <w:b w:val="0"/>
          <w:noProof w:val="0"/>
        </w:rPr>
        <w:t>&lt;/Depute&gt;</w:t>
      </w:r>
    </w:p>
    <w:p w14:paraId="386F0EB1" w14:textId="77777777" w:rsidR="002574AA" w:rsidRPr="004B52A7" w:rsidRDefault="002574AA" w:rsidP="002574AA">
      <w:pPr>
        <w:pStyle w:val="CoverNormal"/>
      </w:pPr>
      <w:r w:rsidRPr="004B52A7">
        <w:rPr>
          <w:rStyle w:val="HideTWBExt"/>
          <w:noProof w:val="0"/>
        </w:rPr>
        <w:t>&lt;Commission&gt;</w:t>
      </w:r>
      <w:r w:rsidRPr="004B52A7">
        <w:rPr>
          <w:rStyle w:val="HideTWBInt"/>
        </w:rPr>
        <w:t>{EFDD}</w:t>
      </w:r>
      <w:r w:rsidRPr="004B52A7">
        <w:t>w imieniu grupy EFDD</w:t>
      </w:r>
      <w:r w:rsidRPr="004B52A7">
        <w:rPr>
          <w:rStyle w:val="HideTWBExt"/>
          <w:noProof w:val="0"/>
        </w:rPr>
        <w:t>&lt;/Commission&gt;</w:t>
      </w:r>
    </w:p>
    <w:p w14:paraId="17936249" w14:textId="77777777" w:rsidR="002574AA" w:rsidRPr="004B52A7" w:rsidRDefault="002574AA" w:rsidP="002574AA">
      <w:pPr>
        <w:pStyle w:val="CoverNormal"/>
      </w:pPr>
      <w:r w:rsidRPr="004B52A7">
        <w:rPr>
          <w:rStyle w:val="HideTWBExt"/>
          <w:noProof w:val="0"/>
        </w:rPr>
        <w:t>&lt;/RepeatBlock-By&gt;</w:t>
      </w:r>
    </w:p>
    <w:p w14:paraId="0C2E5706" w14:textId="77777777" w:rsidR="00814BC6" w:rsidRPr="004B52A7" w:rsidRDefault="00814BC6">
      <w:pPr>
        <w:pStyle w:val="Normal12Bold"/>
      </w:pPr>
      <w:r w:rsidRPr="004B52A7">
        <w:br w:type="page"/>
      </w:r>
      <w:r w:rsidRPr="004B52A7">
        <w:lastRenderedPageBreak/>
        <w:t>B8</w:t>
      </w:r>
      <w:r w:rsidRPr="004B52A7">
        <w:noBreakHyphen/>
        <w:t>0153/2019</w:t>
      </w:r>
    </w:p>
    <w:p w14:paraId="68CD461D" w14:textId="778177B2" w:rsidR="00C23264" w:rsidRPr="004B52A7" w:rsidRDefault="00705196" w:rsidP="00C23264">
      <w:pPr>
        <w:pStyle w:val="NormalBold"/>
      </w:pPr>
      <w:r w:rsidRPr="004B52A7">
        <w:t>Rezolucja Parlamentu Europejskiego w sprawie zagrożeń dla bezpieczeństwa wynikających z rosnącej obecności technologicznej Chin w UE oraz możliwości podjęcia na szczeblu UE działań mających zmniejszyć te zagrożenia</w:t>
      </w:r>
    </w:p>
    <w:p w14:paraId="2607A492" w14:textId="77777777" w:rsidR="00C23264" w:rsidRPr="004B52A7" w:rsidRDefault="00705196" w:rsidP="00C23264">
      <w:pPr>
        <w:pStyle w:val="Normal24Bold"/>
      </w:pPr>
      <w:r w:rsidRPr="004B52A7">
        <w:t>(2019/2575(RSP))</w:t>
      </w:r>
    </w:p>
    <w:p w14:paraId="0E414D4F" w14:textId="77777777" w:rsidR="00814BC6" w:rsidRPr="004B52A7" w:rsidRDefault="00705196">
      <w:pPr>
        <w:pStyle w:val="Normal12"/>
      </w:pPr>
      <w:r w:rsidRPr="004B52A7">
        <w:rPr>
          <w:i/>
        </w:rPr>
        <w:t>Parlament Europejski</w:t>
      </w:r>
      <w:r w:rsidRPr="004B52A7">
        <w:t>,</w:t>
      </w:r>
    </w:p>
    <w:p w14:paraId="7A3F821F" w14:textId="7360C362" w:rsidR="00751469" w:rsidRPr="004B52A7" w:rsidRDefault="00814BC6" w:rsidP="00751469">
      <w:pPr>
        <w:pStyle w:val="Normal12Hanging"/>
      </w:pPr>
      <w:r w:rsidRPr="004B52A7">
        <w:t>–</w:t>
      </w:r>
      <w:r w:rsidRPr="004B52A7">
        <w:tab/>
        <w:t>uwzględniając komunikaty Komisji z dnia 14 września 2016 r. pt. „Łączność dla konkurencyjnego jednolitego rynku cyfrowego: w kierunku europejskiego społeczeństwa gigabitowego” (COM(2016)0587) oraz „Sieć 5G dla Europy: plan działania” (COM(2016)0588),</w:t>
      </w:r>
    </w:p>
    <w:p w14:paraId="716FE8D4" w14:textId="3406530E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zmieniony wniosek Komisji dotyczący rozporządzenia Parlamentu Europejskiego i Rady z dnia 29 stycznia 2016 r. w sprawie dostępu towarów i usług z państw trzecich do rynku wewnętrznego Unii w zakresie zamówień publicznych oraz procedur wspierających negocjacje dotyczące dostępu unijnych towarów i usług do rynków zamówień publicznych państw trzecich (COM(2016)0034),</w:t>
      </w:r>
    </w:p>
    <w:p w14:paraId="6D43F9BC" w14:textId="779581C1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dyrektywę Parlamentu Europejskiego i Rady (UE) 2016/1148 z dnia 6 lipca 2016 r. w sprawie środków na rzecz wysokiego wspólnego poziomu bezpieczeństwa sieci i systemów informatycznych na terytorium Unii</w:t>
      </w:r>
      <w:r w:rsidR="00A57EC0" w:rsidRPr="004B52A7">
        <w:rPr>
          <w:rStyle w:val="FootnoteReference"/>
        </w:rPr>
        <w:footnoteReference w:id="2"/>
      </w:r>
      <w:r w:rsidRPr="004B52A7">
        <w:t>,</w:t>
      </w:r>
    </w:p>
    <w:p w14:paraId="63D090B7" w14:textId="127797CD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wniosek dotyczący rozporządzenia Parlamentu Europejskiego i Rady z dnia 13 września 2017 r. w sprawie „Agencji UE ds. cyberbezpieczeństwa” ENISA, uchylenia rozporządzenia (UE) nr 526/2013 oraz certyfikacji cyberbezpieczeństwa w zakresie technologii informacyjno-komunikacyjnych („akt ws. cyberbezpieczeństwa”) (COM(2017)0477),</w:t>
      </w:r>
    </w:p>
    <w:p w14:paraId="534C9A37" w14:textId="35CCFC3E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dyrektywę Parlamentu Europejskiego i Rady (UE) 2018/1972 z dnia 11 grudnia 2018 r. ustanawiającą Europejski kodeks łączności elektronicznej</w:t>
      </w:r>
      <w:r w:rsidR="00A57EC0" w:rsidRPr="004B52A7">
        <w:rPr>
          <w:rStyle w:val="FootnoteReference"/>
        </w:rPr>
        <w:footnoteReference w:id="3"/>
      </w:r>
      <w:r w:rsidRPr="004B52A7">
        <w:t>,</w:t>
      </w:r>
    </w:p>
    <w:p w14:paraId="3CC512BD" w14:textId="22C5A170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wniosek Komisji dotyczący rozporządzenia Parlamentu Europejskiego i Rady z dnia 12 września 2018 r. ustanawiającego Europejskie Centrum Kompetencji w dziedzinie Cyberbezpieczeństwa w kwestiach Przemysłu, Technologii i Badań Naukowych oraz sieć krajowych ośrodków koordynacji (COM(2018)0630),</w:t>
      </w:r>
    </w:p>
    <w:p w14:paraId="6F6C9F92" w14:textId="77777777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postępowanie w ramach WTO z dnia 1 czerwca 2018 r. dotyczące rozstrzygania sporów (WT/DS549/6) dotyczące pewnych środków nałożonych przez Chiny w związku z transferem zagranicznych technologii do Chin,</w:t>
      </w:r>
    </w:p>
    <w:p w14:paraId="353285BF" w14:textId="2B86D76B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 xml:space="preserve">uwzględniając swoje stanowisko przyjęte w pierwszym czytaniu w dniu 14 lutego 2019 r. w sprawie wniosku dotyczącego rozporządzenia Parlamentu Europejskiego i Rady ustanawiającego ramy monitorowania bezpośrednich inwestycji zagranicznych w </w:t>
      </w:r>
      <w:r w:rsidRPr="004B52A7">
        <w:lastRenderedPageBreak/>
        <w:t>Unii Europejskiej</w:t>
      </w:r>
      <w:r w:rsidR="00A57EC0" w:rsidRPr="004B52A7">
        <w:rPr>
          <w:rStyle w:val="FootnoteReference"/>
        </w:rPr>
        <w:footnoteReference w:id="4"/>
      </w:r>
      <w:r w:rsidRPr="004B52A7">
        <w:t>,</w:t>
      </w:r>
    </w:p>
    <w:p w14:paraId="6E41C4D4" w14:textId="77777777" w:rsidR="00751469" w:rsidRPr="004B52A7" w:rsidRDefault="00751469" w:rsidP="00751469">
      <w:pPr>
        <w:pStyle w:val="Normal12Hanging"/>
      </w:pPr>
      <w:r w:rsidRPr="004B52A7">
        <w:t>–</w:t>
      </w:r>
      <w:r w:rsidRPr="004B52A7">
        <w:tab/>
        <w:t>uwzględniając trwające negocjacje między UE a Chinami w sprawie kompleksowej umowy o inwestycjach,</w:t>
      </w:r>
    </w:p>
    <w:p w14:paraId="6C28EE0D" w14:textId="77777777" w:rsidR="00751469" w:rsidRPr="004B52A7" w:rsidRDefault="00814BC6" w:rsidP="00751469">
      <w:pPr>
        <w:pStyle w:val="Normal12Hanging"/>
      </w:pPr>
      <w:r w:rsidRPr="004B52A7">
        <w:t>–</w:t>
      </w:r>
      <w:r w:rsidRPr="004B52A7">
        <w:tab/>
        <w:t>uwzględniając art. 123 ust. 2 Regulaminu,</w:t>
      </w:r>
    </w:p>
    <w:p w14:paraId="79415E6F" w14:textId="31A85D4B" w:rsidR="00751469" w:rsidRPr="004B52A7" w:rsidRDefault="00751469" w:rsidP="00751469">
      <w:pPr>
        <w:pStyle w:val="Normal12Hanging"/>
      </w:pPr>
      <w:r w:rsidRPr="004B52A7">
        <w:t>A.</w:t>
      </w:r>
      <w:r w:rsidRPr="004B52A7">
        <w:tab/>
        <w:t>mając na uwadze, że ostatnie postępy w dziedzinie technologii informacyjno-komunikacyjnych (ICT), w tym telekomunikacja piątej generacji (5G), stworzyły nowe możliwości produkcji, dystrybucji i wykorzystywania towarów i usług oraz interakcji między urządzeniami i obywatelami, administracją publiczną i innymi podmiotami społeczno-ekonomicznymi, stwarzają zatem potencjał wzmocnienia europejskiej gospodarki;</w:t>
      </w:r>
    </w:p>
    <w:p w14:paraId="5BD0AFF3" w14:textId="7993C6BC" w:rsidR="00751469" w:rsidRPr="004B52A7" w:rsidRDefault="00751469" w:rsidP="00751469">
      <w:pPr>
        <w:pStyle w:val="Normal12Hanging"/>
      </w:pPr>
      <w:r w:rsidRPr="004B52A7">
        <w:t>B.</w:t>
      </w:r>
      <w:r w:rsidRPr="004B52A7">
        <w:tab/>
        <w:t>mając na uwadze, że cyberbezpieczeństwo technologii informacyjno-komunikacyjnych, ochrona informacji szczególnie chronionych, poszanowanie praw indywidualnych i zabezpieczenie przed zewnętrznymi zagrożeniami cybernetycznymi stanowią warunki wstępne dla zapewnienia suwerenności technologicznej obywateli UE oraz ostatecznie dobrobytu i wspierania demokracji w UE;</w:t>
      </w:r>
    </w:p>
    <w:p w14:paraId="6FFADF35" w14:textId="24429B66" w:rsidR="00751469" w:rsidRPr="004B52A7" w:rsidRDefault="00751469" w:rsidP="00751469">
      <w:pPr>
        <w:pStyle w:val="Normal12Hanging"/>
      </w:pPr>
      <w:r w:rsidRPr="004B52A7">
        <w:t>C.</w:t>
      </w:r>
      <w:r w:rsidRPr="004B52A7">
        <w:tab/>
        <w:t>mając na uwadze, że badania i testy dotyczące sieci 5G nie nadążają za presją związaną z jej wdrażaniem i komercjalizacją, mimo iż liczne badania naukowe wskazują na obawy i wątpliwości co do jej zabezpieczeń i bezpieczeństwa, szczególnie pod względem zagrożeń związanych z zanieczyszczeniem elektromagnetycznym dla zdrowia ludzi i środowiska;</w:t>
      </w:r>
    </w:p>
    <w:p w14:paraId="0651DD9B" w14:textId="6116D47B" w:rsidR="00751469" w:rsidRPr="004B52A7" w:rsidRDefault="00751469" w:rsidP="00751469">
      <w:pPr>
        <w:pStyle w:val="Normal12Hanging"/>
      </w:pPr>
      <w:r w:rsidRPr="004B52A7">
        <w:t>D.</w:t>
      </w:r>
      <w:r w:rsidRPr="004B52A7">
        <w:tab/>
        <w:t>mając na uwadze, że zapewnienie cyberbezpieczeństwa sieci 5G stanowi nowe i złożone wyzwanie z uwagi na wirtualny i zdecentralizowany charakter sieci 5G oraz jej rozdrobniony i wysoce wyspecjalizowany łańcuch wartości, od produkcji po dostawę, montaż, konfigurację, działanie, utrzymanie i aktualizacje oprogramowania; mając na uwadze, że UE musi usunąć luki w cyberbezpieczeństwie swojej infrastruktury krytycznej, m.in. w sektorach telekomunikacji, energii, transportu, zdrowia, obrony i bezpieczeństwa;</w:t>
      </w:r>
    </w:p>
    <w:p w14:paraId="0DAF45C6" w14:textId="3D70DCEB" w:rsidR="00751469" w:rsidRPr="004B52A7" w:rsidRDefault="00751469" w:rsidP="00751469">
      <w:pPr>
        <w:pStyle w:val="Normal12Hanging"/>
      </w:pPr>
      <w:r w:rsidRPr="004B52A7">
        <w:t>E.</w:t>
      </w:r>
      <w:r w:rsidRPr="004B52A7">
        <w:tab/>
        <w:t>mając na uwadze, że zapewnienie bezpiecznych sieci 5G jest zadaniem przewyższającym możliwości pojedynczych producentów lub operatorów systemów, wymagającym skutecznych, skoordynowanych działań po stronie wszystkich odpowiednich władz krajowych i międzynarodowych;</w:t>
      </w:r>
    </w:p>
    <w:p w14:paraId="181474D4" w14:textId="5C847801" w:rsidR="00751469" w:rsidRPr="004B52A7" w:rsidRDefault="00751469" w:rsidP="00751469">
      <w:pPr>
        <w:pStyle w:val="Normal12Hanging"/>
      </w:pPr>
      <w:r w:rsidRPr="004B52A7">
        <w:t>F.</w:t>
      </w:r>
      <w:r w:rsidRPr="004B52A7">
        <w:tab/>
        <w:t>mając na uwadze, że UE może stać się liderem rozwoju technologii cyberbezpieczeństwa przez wspieranie europejskich przedsiębiorstw w tym sektorze i promowanie wszystkich zmian w łańcuchu wartości, które mogą zmniejszyć uzależnienie UE od zagranicznych technologii;</w:t>
      </w:r>
    </w:p>
    <w:p w14:paraId="63D2AFD2" w14:textId="052E20BF" w:rsidR="00751469" w:rsidRPr="004B52A7" w:rsidRDefault="00751469" w:rsidP="00751469">
      <w:pPr>
        <w:pStyle w:val="Normal12Hanging"/>
      </w:pPr>
      <w:r w:rsidRPr="004B52A7">
        <w:t>G.</w:t>
      </w:r>
      <w:r w:rsidRPr="004B52A7">
        <w:tab/>
        <w:t>mając na uwadze, że UE opracowała zestaw środków zapewniających cyberbezpieczeństwo, w tym dyrektywę w sprawie środków na rzecz wysokiego wspólnego poziomu bezpieczeństwa sieci i systemów informatycznych na terytorium Unii oraz akt ws. bezpieczeństwa cybernetycznego, które należy niezwłocznie wdrożyć i stale monitorować, aby zapewniać ich stałą skuteczność w drodze niezbędnych aktualizacji i przeglądów;</w:t>
      </w:r>
    </w:p>
    <w:p w14:paraId="24AFFE15" w14:textId="4FBA45F2" w:rsidR="00751469" w:rsidRPr="004B52A7" w:rsidRDefault="00751469" w:rsidP="00751469">
      <w:pPr>
        <w:pStyle w:val="Normal12Hanging"/>
      </w:pPr>
      <w:r w:rsidRPr="004B52A7">
        <w:t>H.</w:t>
      </w:r>
      <w:r w:rsidRPr="004B52A7">
        <w:tab/>
        <w:t>mając na uwadze, że zwiększona obecność dostawców technologii z Chin i innych państw trzecich, szczególnie przedsiębiorstw państwowych i firm charakteryzujących się brakiem przejrzystości, stała się widoczna na unijnym rynku sieci 5G;</w:t>
      </w:r>
    </w:p>
    <w:p w14:paraId="0EB32999" w14:textId="77777777" w:rsidR="00751469" w:rsidRPr="004B52A7" w:rsidRDefault="00751469" w:rsidP="00751469">
      <w:pPr>
        <w:pStyle w:val="Normal12Hanging"/>
      </w:pPr>
      <w:r w:rsidRPr="004B52A7">
        <w:t>I.</w:t>
      </w:r>
      <w:r w:rsidRPr="004B52A7">
        <w:tab/>
        <w:t>mając na uwadze, że wzajemność jest jednym z najskuteczniejszych sposobów dokonywania postępów na rzecz równych warunków działania na świecie;</w:t>
      </w:r>
    </w:p>
    <w:p w14:paraId="0A4F8E61" w14:textId="2656A497" w:rsidR="00751469" w:rsidRPr="004B52A7" w:rsidRDefault="00751469" w:rsidP="00751469">
      <w:pPr>
        <w:pStyle w:val="Normal12Hanging"/>
      </w:pPr>
      <w:r w:rsidRPr="004B52A7">
        <w:t>J.</w:t>
      </w:r>
      <w:r w:rsidRPr="004B52A7">
        <w:tab/>
        <w:t>mając na uwadze, że zagraniczne przedsiębiorstwa muszą obecnie zmierzyć się z rozbieżnościami w unijnych normach ochrony danych wynikającymi z różnic między ogólnym rozporządzeniem o ochronie danych a różnymi wymogami przepisów krajowych;</w:t>
      </w:r>
    </w:p>
    <w:p w14:paraId="2915D0C5" w14:textId="64F50B65" w:rsidR="00751469" w:rsidRPr="004B52A7" w:rsidRDefault="00751469" w:rsidP="00751469">
      <w:pPr>
        <w:pStyle w:val="Normal12Hanging"/>
      </w:pPr>
      <w:r w:rsidRPr="004B52A7">
        <w:t>K.</w:t>
      </w:r>
      <w:r w:rsidRPr="004B52A7">
        <w:tab/>
        <w:t>mając na uwadze, że od 2013 r. UE i Chiny prowadzą negocjacje w sprawie kompleksowej umowy o inwestycjach; mając na uwadze, że proponowane porozumienie pomogłoby rozwiązać problemy z dostępem do rynku oraz ustanowić ramy ochrony inwestycji i podstawowe normy w dziedzinie praw pracowniczych i środowiska;</w:t>
      </w:r>
    </w:p>
    <w:p w14:paraId="44F6CB84" w14:textId="745293D2" w:rsidR="00751469" w:rsidRPr="004B52A7" w:rsidRDefault="00751469" w:rsidP="00751469">
      <w:pPr>
        <w:pStyle w:val="Normal12Hanging"/>
      </w:pPr>
      <w:r w:rsidRPr="004B52A7">
        <w:t>L.</w:t>
      </w:r>
      <w:r w:rsidRPr="004B52A7">
        <w:tab/>
        <w:t xml:space="preserve">mając na uwadze, że pojawiły się, jakkolwiek nierozstrzygające, dowody na obecność luk w zabezpieczeniach w sprzęcie dostarczanym przez dostawców z państw trzecich, w tym z Chin, które to luki mogą zagrażać prawu osób fizycznych do prywatności i ochrony informacji szczególnie chronionych w UE; </w:t>
      </w:r>
    </w:p>
    <w:p w14:paraId="4AEA5866" w14:textId="2F3638A1" w:rsidR="00751469" w:rsidRPr="004B52A7" w:rsidRDefault="00751469" w:rsidP="00751469">
      <w:pPr>
        <w:pStyle w:val="Normal12Hanging"/>
      </w:pPr>
      <w:r w:rsidRPr="004B52A7">
        <w:t>1.</w:t>
      </w:r>
      <w:r w:rsidRPr="004B52A7">
        <w:tab/>
        <w:t>podkreśla, że podczas wdrażania i komercjalizacji sieci 5G należy przestrzegać zasady ostrożności, a wszystkie podmioty społeczno-gospodarcze powinny przewidywać jej możliwe skutki dla bezpieczeństwa oraz przyjąć proporcjonalne środki ostrożnościowe, w tym niezwłocznie ujawniać czynniki mogące zagrażać zdrowiu publicznemu lub środowisku;</w:t>
      </w:r>
    </w:p>
    <w:p w14:paraId="1B4E2BE8" w14:textId="0A4D71EF" w:rsidR="00751469" w:rsidRPr="004B52A7" w:rsidRDefault="00751469" w:rsidP="00751469">
      <w:pPr>
        <w:pStyle w:val="Normal12Hanging"/>
      </w:pPr>
      <w:r w:rsidRPr="004B52A7">
        <w:t>2.</w:t>
      </w:r>
      <w:r w:rsidRPr="004B52A7">
        <w:tab/>
        <w:t>podkreśla, że oddziaływanie społeczne i gospodarcze sieci 5G oraz technologii, które ona umożliwia, od internetu rzeczy po sztuczną inteligencję, należy dokładnie ocenić oraz podjąć środki, aby umożliwić sprawiedliwą i równą dla wszystkich transformację w kierunku europejskiego społeczeństwa gigabitowego opartą na odpowiedzialności etycznej;</w:t>
      </w:r>
    </w:p>
    <w:p w14:paraId="20F71782" w14:textId="5CD5D873" w:rsidR="00751469" w:rsidRPr="004B52A7" w:rsidRDefault="00751469" w:rsidP="00751469">
      <w:pPr>
        <w:pStyle w:val="Normal12Hanging"/>
      </w:pPr>
      <w:r w:rsidRPr="004B52A7">
        <w:t>3.</w:t>
      </w:r>
      <w:r w:rsidRPr="004B52A7">
        <w:tab/>
        <w:t>wzywa Komisję i państwa członkowskie do stworzenia środowiska sprzyjającego innowacjom dla dostawców unijnych, aby mogli oni opracowywać nowe produkty, usługi i technologie, oraz do wspierania unijnych przedsiębiorstw we wdrażaniu i komercjalizacji bezpiecznej sieci 5G, przy zapewnieniu, aby jej potencjał był dostępny dla wszystkich przedsiębiorstw w gospodarce cyfrowej UE, w tym małych i średnich przedsiębiorstw;</w:t>
      </w:r>
    </w:p>
    <w:p w14:paraId="424DA0DB" w14:textId="5635A884" w:rsidR="00751469" w:rsidRPr="004B52A7" w:rsidRDefault="00751469" w:rsidP="00751469">
      <w:pPr>
        <w:pStyle w:val="Normal12Hanging"/>
      </w:pPr>
      <w:r w:rsidRPr="004B52A7">
        <w:t>4.</w:t>
      </w:r>
      <w:r w:rsidRPr="004B52A7">
        <w:tab/>
        <w:t>przypomina, że cyberbezpieczeństwo stanowi obecnie jedno z głównych wyzwań dla UE oraz że błędy w tej dziedzinie mogą zagrażać poszanowaniu prywatności i praw podstawowych unijnych konsumentów i producentów, poważnie podważyć zaufanie obywateli do produktów i usług w dziedzinie ICT oraz ostatecznie spowodować poważne szkody gospodarcze; apeluje o zapewnianie bezpieczeństwa sieci już w fazie projektowania i o domyślne zapewnianie bezpieczeństwa sieci;</w:t>
      </w:r>
    </w:p>
    <w:p w14:paraId="3720C81A" w14:textId="57AC7A70" w:rsidR="00751469" w:rsidRPr="004B52A7" w:rsidRDefault="00751469" w:rsidP="00751469">
      <w:pPr>
        <w:pStyle w:val="Normal12Hanging"/>
      </w:pPr>
      <w:r w:rsidRPr="004B52A7">
        <w:t>5.</w:t>
      </w:r>
      <w:r w:rsidRPr="004B52A7">
        <w:tab/>
        <w:t>wzywa Komisję i państwa członkowskie do ścisłej współpracy we wdrażaniu strategii UE w dziedzinie cyberbezpieczeństwa oraz do łączenia środków unijnych i krajowych, aby minimalizować ryzyko luk w zabezpieczeniach i naruszeń ochrony danych w całym łańcuchu wartości; uważa, że takie środki powinny obejmować unijną certyfikację cyberbezpieczeństwa, wymogi dotyczące konfiguracji oraz procedury i praktyki operacyjne, a także promocję cyberhigieny i edukacji cyfrowej;</w:t>
      </w:r>
    </w:p>
    <w:p w14:paraId="7FA95F6A" w14:textId="0F181D94" w:rsidR="00751469" w:rsidRPr="004B52A7" w:rsidRDefault="00751469" w:rsidP="00751469">
      <w:pPr>
        <w:pStyle w:val="Normal12Hanging"/>
      </w:pPr>
      <w:r w:rsidRPr="004B52A7">
        <w:t>6.</w:t>
      </w:r>
      <w:r w:rsidRPr="004B52A7">
        <w:tab/>
        <w:t>uważa, że agencja UE ds. cyberbezpieczeństwa (Agencja Unii Europejskiej ds. Bezpieczeństwa Sieci i Informacji – ENISA) ma do odegrania zasadniczą rolę w analizie możliwych zagrożeń, jakie mogą stwarzać zagraniczni dostawcy, w tym z Chin, oraz w koordynacji wspólnego podejścia między państwami członkowskimi, aby eliminować zagrożenia dla cyberbezpieczeństwa i cyberataki;</w:t>
      </w:r>
    </w:p>
    <w:p w14:paraId="1FBE5AC6" w14:textId="307390D7" w:rsidR="00751469" w:rsidRPr="004B52A7" w:rsidRDefault="00751469" w:rsidP="00751469">
      <w:pPr>
        <w:pStyle w:val="Normal12Hanging"/>
      </w:pPr>
      <w:r w:rsidRPr="004B52A7">
        <w:t>7.</w:t>
      </w:r>
      <w:r w:rsidRPr="004B52A7">
        <w:tab/>
        <w:t>wzywa Komisję i państwa członkowskie do szybkiego wdrożenia pakietu dotyczącego gospodarki o obiegu zamkniętym i poprawy gospodarki surowcami w trakcie całego cyklu życia oraz do recyklingu odpadów, aby poprawić dostęp UE do surowców krytycznych, który ma podstawowe znaczenie dla zaawansowanych technologicznie produktów i pojawiających się innowacji;</w:t>
      </w:r>
    </w:p>
    <w:p w14:paraId="64AD1BBE" w14:textId="5C884492" w:rsidR="00751469" w:rsidRPr="004B52A7" w:rsidRDefault="00751469" w:rsidP="00751469">
      <w:pPr>
        <w:pStyle w:val="Normal12Hanging"/>
      </w:pPr>
      <w:r w:rsidRPr="004B52A7">
        <w:t>8.</w:t>
      </w:r>
      <w:r w:rsidRPr="004B52A7">
        <w:tab/>
        <w:t>uważa, że należy pilnie rozwiązać problem możliwych zagrożeń dla bezpieczeństwa technologicznego wynikających z obecnej penetracji rynku przez zagranicznych dostawców, w tym z Chin, przez przyjęcie przez państwa członkowskie wspólnego podejścia w dziedzinie bezpieczeństwa i ochrony danych osobowych;</w:t>
      </w:r>
    </w:p>
    <w:p w14:paraId="600E429B" w14:textId="72BB8547" w:rsidR="00751469" w:rsidRPr="004B52A7" w:rsidRDefault="00751469" w:rsidP="00751469">
      <w:pPr>
        <w:pStyle w:val="Normal12Hanging"/>
      </w:pPr>
      <w:r w:rsidRPr="004B52A7">
        <w:t>9.</w:t>
      </w:r>
      <w:r w:rsidRPr="004B52A7">
        <w:tab/>
        <w:t>wzywa Komisję i państwa członkowskie do analizy i monitorowania bezpieczeństwa tych systemów ICT, w których technologie z państw trzecich są silnie obecne, także przez przeprowadzanie testów warunków skrajnych;</w:t>
      </w:r>
    </w:p>
    <w:p w14:paraId="1E1E1472" w14:textId="4AF94C89" w:rsidR="00751469" w:rsidRPr="004B52A7" w:rsidRDefault="00751469" w:rsidP="00751469">
      <w:pPr>
        <w:pStyle w:val="Normal12Hanging"/>
      </w:pPr>
      <w:r w:rsidRPr="004B52A7">
        <w:t>10.</w:t>
      </w:r>
      <w:r w:rsidRPr="004B52A7">
        <w:tab/>
        <w:t>podkreśla, że nie należy dyskryminować dostawców z państw trzecich ze względu na kraj pochodzenia, jednak należy brać pod uwagę przejrzystość tych przedsiębiorstw, stosowane przez nie normy cyberbezpieczeństwa i przestrzeganie zasady wzajemności względem europejskich przedsiębiorstw w ich państwie pochodzenia, aby zapewnić równość szans;</w:t>
      </w:r>
    </w:p>
    <w:p w14:paraId="03030E9E" w14:textId="2FAB8F9C" w:rsidR="00751469" w:rsidRPr="004B52A7" w:rsidRDefault="00751469" w:rsidP="00751469">
      <w:pPr>
        <w:pStyle w:val="Normal12Hanging"/>
      </w:pPr>
      <w:r w:rsidRPr="004B52A7">
        <w:t>11.</w:t>
      </w:r>
      <w:r w:rsidRPr="004B52A7">
        <w:tab/>
        <w:t>podkreśla, że dostawcy i operatorzy z Chin lub innych państw trzecich w żadnym wypadku nie powinni stwarzać zagrożeń dla poszanowania praw indywidualnych zagwarantowanych na mocy prawa UE, nawet jeśli w prawie krajowym obowiązującym w ich państwie pochodzenia istnieją inne wymogi;</w:t>
      </w:r>
    </w:p>
    <w:p w14:paraId="27547587" w14:textId="1FFAC2F4" w:rsidR="00751469" w:rsidRPr="004B52A7" w:rsidRDefault="00751469" w:rsidP="00751469">
      <w:pPr>
        <w:pStyle w:val="Normal12Hanging"/>
      </w:pPr>
      <w:r w:rsidRPr="004B52A7">
        <w:t>12.</w:t>
      </w:r>
      <w:r w:rsidRPr="004B52A7">
        <w:tab/>
        <w:t>zwraca się do Rady o pozytywne rozpatrzenie ponownego otwarcia rozmów dotyczących nowego, zmienionego wniosku Komisji w sprawie procedury ograniczającej dostęp zagranicznych produktów do rynku zamówień UE w razie braku wzajemnego dostępu;</w:t>
      </w:r>
    </w:p>
    <w:p w14:paraId="6E2D8360" w14:textId="03FFF52A" w:rsidR="00751469" w:rsidRPr="004B52A7" w:rsidRDefault="00751469" w:rsidP="00751469">
      <w:pPr>
        <w:pStyle w:val="Normal12Hanging"/>
      </w:pPr>
      <w:r w:rsidRPr="004B52A7">
        <w:t>13.</w:t>
      </w:r>
      <w:r w:rsidRPr="004B52A7">
        <w:tab/>
        <w:t>przypomina o znaczeniu dalszych postępów w negocjacjach w sprawie współpracy regulacyjnej w dziedzinie technologii cyfrowej z państwami trzecimi oraz zapewnienia ich większego zaangażowania w działania międzynarodowych organów normalizacyjnych;</w:t>
      </w:r>
    </w:p>
    <w:p w14:paraId="6315E7B8" w14:textId="77777777" w:rsidR="00751469" w:rsidRPr="004B52A7" w:rsidRDefault="00751469" w:rsidP="00751469">
      <w:pPr>
        <w:pStyle w:val="Normal12Hanging"/>
      </w:pPr>
      <w:r w:rsidRPr="004B52A7">
        <w:t>14.</w:t>
      </w:r>
      <w:r w:rsidRPr="004B52A7">
        <w:tab/>
        <w:t>zobowiązuje swojego przewodniczącego do przekazania niniejszej rezolucji Radzie i Komisji.</w:t>
      </w:r>
    </w:p>
    <w:p w14:paraId="5A6762C5" w14:textId="77777777" w:rsidR="00814BC6" w:rsidRPr="004B52A7" w:rsidRDefault="00814BC6" w:rsidP="00751469">
      <w:pPr>
        <w:pStyle w:val="Normal12Hanging"/>
      </w:pPr>
    </w:p>
    <w:sectPr w:rsidR="00814BC6" w:rsidRPr="004B52A7" w:rsidSect="004B52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0A7EB" w14:textId="77777777" w:rsidR="00705196" w:rsidRPr="004B52A7" w:rsidRDefault="00705196">
      <w:r w:rsidRPr="004B52A7">
        <w:separator/>
      </w:r>
    </w:p>
  </w:endnote>
  <w:endnote w:type="continuationSeparator" w:id="0">
    <w:p w14:paraId="714680DF" w14:textId="77777777" w:rsidR="00705196" w:rsidRPr="004B52A7" w:rsidRDefault="00705196">
      <w:r w:rsidRPr="004B52A7">
        <w:continuationSeparator/>
      </w:r>
    </w:p>
  </w:endnote>
  <w:endnote w:type="continuationNotice" w:id="1">
    <w:p w14:paraId="57086444" w14:textId="77777777" w:rsidR="00A57EC0" w:rsidRPr="004B52A7" w:rsidRDefault="00A57E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D4BC2" w14:textId="043D7E8F" w:rsidR="004B52A7" w:rsidRPr="004B52A7" w:rsidRDefault="004B52A7" w:rsidP="004B52A7">
    <w:pPr>
      <w:pStyle w:val="Footer"/>
    </w:pPr>
    <w:r w:rsidRPr="004B52A7">
      <w:t>PE</w:t>
    </w:r>
    <w:r w:rsidRPr="004B52A7">
      <w:rPr>
        <w:rStyle w:val="HideTWBExt"/>
        <w:noProof w:val="0"/>
      </w:rPr>
      <w:t>&lt;NoPE&gt;</w:t>
    </w:r>
    <w:r w:rsidRPr="004B52A7">
      <w:t>635.405</w:t>
    </w:r>
    <w:r w:rsidRPr="004B52A7">
      <w:rPr>
        <w:rStyle w:val="HideTWBExt"/>
        <w:noProof w:val="0"/>
      </w:rPr>
      <w:t>&lt;/NoPE&gt;&lt;Version&gt;</w:t>
    </w:r>
    <w:r w:rsidRPr="004B52A7">
      <w:t>v01-00</w:t>
    </w:r>
    <w:r w:rsidRPr="004B52A7">
      <w:rPr>
        <w:rStyle w:val="HideTWBExt"/>
        <w:noProof w:val="0"/>
      </w:rPr>
      <w:t>&lt;/Version&gt;</w:t>
    </w:r>
    <w:r w:rsidRPr="004B52A7">
      <w:tab/>
    </w:r>
    <w:r w:rsidRPr="004B52A7">
      <w:fldChar w:fldCharType="begin"/>
    </w:r>
    <w:r w:rsidRPr="004B52A7">
      <w:instrText xml:space="preserve"> PAGE  \* MERGEFORMAT </w:instrText>
    </w:r>
    <w:r w:rsidRPr="004B52A7">
      <w:fldChar w:fldCharType="separate"/>
    </w:r>
    <w:r w:rsidR="00DB61AE">
      <w:rPr>
        <w:noProof/>
      </w:rPr>
      <w:t>2</w:t>
    </w:r>
    <w:r w:rsidRPr="004B52A7">
      <w:fldChar w:fldCharType="end"/>
    </w:r>
    <w:r w:rsidRPr="004B52A7">
      <w:t>/</w:t>
    </w:r>
    <w:fldSimple w:instr=" NUMPAGES  \* MERGEFORMAT ">
      <w:r w:rsidR="00DB61AE">
        <w:rPr>
          <w:noProof/>
        </w:rPr>
        <w:t>6</w:t>
      </w:r>
    </w:fldSimple>
    <w:r w:rsidRPr="004B52A7">
      <w:tab/>
    </w:r>
    <w:r w:rsidRPr="004B52A7">
      <w:rPr>
        <w:rStyle w:val="HideTWBExt"/>
        <w:noProof w:val="0"/>
      </w:rPr>
      <w:t>&lt;PathFdR&gt;</w:t>
    </w:r>
    <w:r w:rsidRPr="004B52A7">
      <w:t>RE\1178926PL.docx</w:t>
    </w:r>
    <w:r w:rsidRPr="004B52A7">
      <w:rPr>
        <w:rStyle w:val="HideTWBExt"/>
        <w:noProof w:val="0"/>
      </w:rPr>
      <w:t>&lt;/PathFdR&gt;</w:t>
    </w:r>
  </w:p>
  <w:p w14:paraId="36B2FE02" w14:textId="42EFBEEC" w:rsidR="00A90219" w:rsidRPr="004B52A7" w:rsidRDefault="004B52A7" w:rsidP="004B52A7">
    <w:pPr>
      <w:pStyle w:val="Footer2"/>
    </w:pPr>
    <w:r w:rsidRPr="004B52A7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65D41" w14:textId="6C003E42" w:rsidR="004B52A7" w:rsidRPr="004B52A7" w:rsidRDefault="004B52A7" w:rsidP="004B52A7">
    <w:pPr>
      <w:pStyle w:val="Footer"/>
    </w:pPr>
    <w:r w:rsidRPr="004B52A7">
      <w:rPr>
        <w:rStyle w:val="HideTWBExt"/>
        <w:noProof w:val="0"/>
      </w:rPr>
      <w:t>&lt;PathFdR&gt;</w:t>
    </w:r>
    <w:r w:rsidRPr="004B52A7">
      <w:t>RE\1178926PL.docx</w:t>
    </w:r>
    <w:r w:rsidRPr="004B52A7">
      <w:rPr>
        <w:rStyle w:val="HideTWBExt"/>
        <w:noProof w:val="0"/>
      </w:rPr>
      <w:t>&lt;/PathFdR&gt;</w:t>
    </w:r>
    <w:r w:rsidRPr="004B52A7">
      <w:tab/>
    </w:r>
    <w:r w:rsidRPr="004B52A7">
      <w:fldChar w:fldCharType="begin"/>
    </w:r>
    <w:r w:rsidRPr="004B52A7">
      <w:instrText xml:space="preserve"> PAGE  \* MERGEFORMAT </w:instrText>
    </w:r>
    <w:r w:rsidRPr="004B52A7">
      <w:fldChar w:fldCharType="separate"/>
    </w:r>
    <w:r w:rsidR="00DB61AE">
      <w:rPr>
        <w:noProof/>
      </w:rPr>
      <w:t>6</w:t>
    </w:r>
    <w:r w:rsidRPr="004B52A7">
      <w:fldChar w:fldCharType="end"/>
    </w:r>
    <w:r w:rsidRPr="004B52A7">
      <w:t>/</w:t>
    </w:r>
    <w:fldSimple w:instr=" NUMPAGES  \* MERGEFORMAT ">
      <w:r w:rsidR="00DB61AE">
        <w:rPr>
          <w:noProof/>
        </w:rPr>
        <w:t>6</w:t>
      </w:r>
    </w:fldSimple>
    <w:r w:rsidRPr="004B52A7">
      <w:tab/>
      <w:t>PE</w:t>
    </w:r>
    <w:r w:rsidRPr="004B52A7">
      <w:rPr>
        <w:rStyle w:val="HideTWBExt"/>
        <w:noProof w:val="0"/>
      </w:rPr>
      <w:t>&lt;NoPE&gt;</w:t>
    </w:r>
    <w:r w:rsidRPr="004B52A7">
      <w:t>635.405</w:t>
    </w:r>
    <w:r w:rsidRPr="004B52A7">
      <w:rPr>
        <w:rStyle w:val="HideTWBExt"/>
        <w:noProof w:val="0"/>
      </w:rPr>
      <w:t>&lt;/NoPE&gt;&lt;Version&gt;</w:t>
    </w:r>
    <w:r w:rsidRPr="004B52A7">
      <w:t>v01-00</w:t>
    </w:r>
    <w:r w:rsidRPr="004B52A7">
      <w:rPr>
        <w:rStyle w:val="HideTWBExt"/>
        <w:noProof w:val="0"/>
      </w:rPr>
      <w:t>&lt;/Version&gt;</w:t>
    </w:r>
  </w:p>
  <w:p w14:paraId="4FC07BE1" w14:textId="57DA4378" w:rsidR="00A90219" w:rsidRPr="004B52A7" w:rsidRDefault="004B52A7" w:rsidP="004B52A7">
    <w:pPr>
      <w:pStyle w:val="Footer2"/>
    </w:pPr>
    <w:r w:rsidRPr="004B52A7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E4E7C" w14:textId="77777777" w:rsidR="004B52A7" w:rsidRPr="004B52A7" w:rsidRDefault="004B52A7" w:rsidP="004B52A7">
    <w:pPr>
      <w:pStyle w:val="Footer"/>
    </w:pPr>
    <w:r w:rsidRPr="004B52A7">
      <w:rPr>
        <w:rStyle w:val="HideTWBExt"/>
        <w:noProof w:val="0"/>
      </w:rPr>
      <w:t>&lt;PathFdR&gt;</w:t>
    </w:r>
    <w:r w:rsidRPr="004B52A7">
      <w:t>RE\1178926PL.docx</w:t>
    </w:r>
    <w:r w:rsidRPr="004B52A7">
      <w:rPr>
        <w:rStyle w:val="HideTWBExt"/>
        <w:noProof w:val="0"/>
      </w:rPr>
      <w:t>&lt;/PathFdR&gt;</w:t>
    </w:r>
    <w:r w:rsidRPr="004B52A7">
      <w:tab/>
    </w:r>
    <w:r w:rsidRPr="004B52A7">
      <w:tab/>
      <w:t>PE</w:t>
    </w:r>
    <w:r w:rsidRPr="004B52A7">
      <w:rPr>
        <w:rStyle w:val="HideTWBExt"/>
        <w:noProof w:val="0"/>
      </w:rPr>
      <w:t>&lt;NoPE&gt;</w:t>
    </w:r>
    <w:r w:rsidRPr="004B52A7">
      <w:t>635.405</w:t>
    </w:r>
    <w:r w:rsidRPr="004B52A7">
      <w:rPr>
        <w:rStyle w:val="HideTWBExt"/>
        <w:noProof w:val="0"/>
      </w:rPr>
      <w:t>&lt;/NoPE&gt;&lt;Version&gt;</w:t>
    </w:r>
    <w:r w:rsidRPr="004B52A7">
      <w:t>v01-00</w:t>
    </w:r>
    <w:r w:rsidRPr="004B52A7">
      <w:rPr>
        <w:rStyle w:val="HideTWBExt"/>
        <w:noProof w:val="0"/>
      </w:rPr>
      <w:t>&lt;/Version&gt;</w:t>
    </w:r>
  </w:p>
  <w:p w14:paraId="08EE1624" w14:textId="157482AC" w:rsidR="00A90219" w:rsidRPr="004B52A7" w:rsidRDefault="004B52A7" w:rsidP="004B52A7">
    <w:pPr>
      <w:pStyle w:val="Footer2"/>
      <w:tabs>
        <w:tab w:val="center" w:pos="4535"/>
      </w:tabs>
    </w:pPr>
    <w:r w:rsidRPr="004B52A7">
      <w:t>PL</w:t>
    </w:r>
    <w:r w:rsidRPr="004B52A7">
      <w:tab/>
    </w:r>
    <w:r w:rsidRPr="004B52A7">
      <w:rPr>
        <w:b w:val="0"/>
        <w:i/>
        <w:color w:val="C0C0C0"/>
        <w:sz w:val="22"/>
      </w:rPr>
      <w:t>Zjednoczona w różnorodności</w:t>
    </w:r>
    <w:r w:rsidRPr="004B52A7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774CB" w14:textId="77777777" w:rsidR="00705196" w:rsidRPr="004B52A7" w:rsidRDefault="00705196">
      <w:r w:rsidRPr="004B52A7">
        <w:separator/>
      </w:r>
    </w:p>
  </w:footnote>
  <w:footnote w:type="continuationSeparator" w:id="0">
    <w:p w14:paraId="0942CF9E" w14:textId="77777777" w:rsidR="00705196" w:rsidRPr="004B52A7" w:rsidRDefault="00705196">
      <w:r w:rsidRPr="004B52A7">
        <w:continuationSeparator/>
      </w:r>
    </w:p>
  </w:footnote>
  <w:footnote w:type="continuationNotice" w:id="1">
    <w:p w14:paraId="684E5A23" w14:textId="77777777" w:rsidR="00A57EC0" w:rsidRPr="004B52A7" w:rsidRDefault="00A57EC0"/>
  </w:footnote>
  <w:footnote w:id="2">
    <w:p w14:paraId="2D063A7D" w14:textId="77777777" w:rsidR="00A57EC0" w:rsidRPr="004B52A7" w:rsidRDefault="00A57EC0">
      <w:pPr>
        <w:pStyle w:val="FootnoteText"/>
      </w:pPr>
      <w:r w:rsidRPr="004B52A7">
        <w:rPr>
          <w:rStyle w:val="FootnoteReference"/>
        </w:rPr>
        <w:footnoteRef/>
      </w:r>
      <w:r w:rsidRPr="004B52A7">
        <w:t xml:space="preserve"> Dz.U. L 194 z 19.7.2016, s. 1.</w:t>
      </w:r>
    </w:p>
  </w:footnote>
  <w:footnote w:id="3">
    <w:p w14:paraId="62FEA6B9" w14:textId="77777777" w:rsidR="00A57EC0" w:rsidRPr="004B52A7" w:rsidRDefault="00A57EC0">
      <w:pPr>
        <w:pStyle w:val="FootnoteText"/>
      </w:pPr>
      <w:r w:rsidRPr="004B52A7">
        <w:rPr>
          <w:rStyle w:val="FootnoteReference"/>
        </w:rPr>
        <w:footnoteRef/>
      </w:r>
      <w:r w:rsidRPr="004B52A7">
        <w:t xml:space="preserve"> Dz.U. L 321 z 17.12.2018, s. 36.</w:t>
      </w:r>
    </w:p>
  </w:footnote>
  <w:footnote w:id="4">
    <w:p w14:paraId="5E4EF4D3" w14:textId="77777777" w:rsidR="00A57EC0" w:rsidRPr="004B52A7" w:rsidRDefault="00A57EC0">
      <w:pPr>
        <w:pStyle w:val="FootnoteText"/>
      </w:pPr>
      <w:r w:rsidRPr="004B52A7">
        <w:rPr>
          <w:rStyle w:val="FootnoteReference"/>
        </w:rPr>
        <w:footnoteRef/>
      </w:r>
      <w:r w:rsidRPr="004B52A7">
        <w:t xml:space="preserve"> Teksty przyjęte, P8_TA(2019)0121.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8DD4F" w14:textId="77777777" w:rsidR="00DB61AE" w:rsidRDefault="00DB61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A5238" w14:textId="77777777" w:rsidR="00DB61AE" w:rsidRDefault="00DB61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E72B65" w14:textId="77777777" w:rsidR="00DB61AE" w:rsidRDefault="00DB61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  <w:footnote w:id="1"/>
  </w:footnotePr>
  <w:endnotePr>
    <w:numFmt w:val="decimal"/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OCTYPEMNU" w:val=" 2"/>
    <w:docVar w:name="LastEditedSection" w:val=" 1"/>
    <w:docVar w:name="STATMNU" w:val=" 7"/>
    <w:docVar w:name="strDocTypeID" w:val="RE_Statements"/>
    <w:docVar w:name="strSubDir" w:val="1178"/>
    <w:docVar w:name="TXTLANGUE" w:val="PL"/>
    <w:docVar w:name="TXTLANGUEMIN" w:val="pl"/>
    <w:docVar w:name="TXTNRB" w:val="0153/2019"/>
    <w:docVar w:name="TXTNRPE" w:val="635.405"/>
    <w:docVar w:name="TXTNRRSP" w:val="2019/2575"/>
    <w:docVar w:name="TXTPEorAP" w:val="PE"/>
    <w:docVar w:name="TXTROUTE" w:val="RE\1178926PL.docx"/>
    <w:docVar w:name="TXTTITLE" w:val="the security threats connected with the rising of Chinese technological presence in the EU and possible action on the EU level to reduce them"/>
    <w:docVar w:name="TXTVERSION" w:val="01-00"/>
  </w:docVars>
  <w:rsids>
    <w:rsidRoot w:val="00705196"/>
    <w:rsid w:val="00014ECA"/>
    <w:rsid w:val="00037F46"/>
    <w:rsid w:val="00055DBE"/>
    <w:rsid w:val="000715F5"/>
    <w:rsid w:val="00094DDA"/>
    <w:rsid w:val="000B25D8"/>
    <w:rsid w:val="001B49A3"/>
    <w:rsid w:val="001C2B16"/>
    <w:rsid w:val="001C62C5"/>
    <w:rsid w:val="00211067"/>
    <w:rsid w:val="002574AA"/>
    <w:rsid w:val="002C7767"/>
    <w:rsid w:val="00303413"/>
    <w:rsid w:val="003772FA"/>
    <w:rsid w:val="003F0A8E"/>
    <w:rsid w:val="00443A48"/>
    <w:rsid w:val="004B52A7"/>
    <w:rsid w:val="005639B1"/>
    <w:rsid w:val="0058312A"/>
    <w:rsid w:val="005C6627"/>
    <w:rsid w:val="00675DB7"/>
    <w:rsid w:val="00697E07"/>
    <w:rsid w:val="00705196"/>
    <w:rsid w:val="00706BC0"/>
    <w:rsid w:val="00723A0B"/>
    <w:rsid w:val="00751469"/>
    <w:rsid w:val="00780A7D"/>
    <w:rsid w:val="00781317"/>
    <w:rsid w:val="00814BC6"/>
    <w:rsid w:val="00887033"/>
    <w:rsid w:val="008A4052"/>
    <w:rsid w:val="00907285"/>
    <w:rsid w:val="00947ED6"/>
    <w:rsid w:val="00A25237"/>
    <w:rsid w:val="00A57EC0"/>
    <w:rsid w:val="00A90219"/>
    <w:rsid w:val="00B34A46"/>
    <w:rsid w:val="00C23264"/>
    <w:rsid w:val="00CC09D8"/>
    <w:rsid w:val="00D12F64"/>
    <w:rsid w:val="00D321B7"/>
    <w:rsid w:val="00D56093"/>
    <w:rsid w:val="00D900F4"/>
    <w:rsid w:val="00D90D37"/>
    <w:rsid w:val="00DB61AE"/>
    <w:rsid w:val="00E53167"/>
    <w:rsid w:val="00E72520"/>
    <w:rsid w:val="00F26DE8"/>
    <w:rsid w:val="00F4455A"/>
    <w:rsid w:val="00F959BA"/>
    <w:rsid w:val="00FA4C98"/>
    <w:rsid w:val="00FA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6D59DA2"/>
  <w15:chartTrackingRefBased/>
  <w15:docId w15:val="{B493BB34-13CF-4766-B231-7B49C1899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Footer">
    <w:name w:val="footer"/>
    <w:basedOn w:val="Normal12a12b"/>
    <w:pPr>
      <w:tabs>
        <w:tab w:val="center" w:pos="4535"/>
        <w:tab w:val="right" w:pos="9071"/>
      </w:tabs>
    </w:pPr>
    <w:rPr>
      <w:sz w:val="22"/>
    </w:rPr>
  </w:style>
  <w:style w:type="paragraph" w:customStyle="1" w:styleId="Normal12a12b">
    <w:name w:val="Normal12a12b"/>
    <w:basedOn w:val="Normal"/>
    <w:pPr>
      <w:spacing w:before="240" w:after="240"/>
    </w:pPr>
  </w:style>
  <w:style w:type="paragraph" w:customStyle="1" w:styleId="Footer2">
    <w:name w:val="Footer2"/>
    <w:basedOn w:val="Normal"/>
    <w:pPr>
      <w:widowControl/>
      <w:tabs>
        <w:tab w:val="right" w:pos="9921"/>
      </w:tabs>
      <w:spacing w:after="240"/>
      <w:ind w:left="-850" w:right="-850"/>
    </w:pPr>
    <w:rPr>
      <w:rFonts w:ascii="Arial" w:hAnsi="Arial" w:cs="Arial"/>
      <w:b/>
      <w:sz w:val="48"/>
    </w:rPr>
  </w:style>
  <w:style w:type="paragraph" w:customStyle="1" w:styleId="Normal12">
    <w:name w:val="Normal12"/>
    <w:basedOn w:val="Normal"/>
    <w:pPr>
      <w:spacing w:after="240"/>
    </w:pPr>
  </w:style>
  <w:style w:type="paragraph" w:styleId="TOC1">
    <w:name w:val="toc 1"/>
    <w:basedOn w:val="Normal12"/>
    <w:next w:val="Normal12"/>
    <w:autoRedefine/>
    <w:semiHidden/>
  </w:style>
  <w:style w:type="paragraph" w:styleId="TOCHeading">
    <w:name w:val="TOC Heading"/>
    <w:basedOn w:val="Normal12"/>
    <w:next w:val="Normal12"/>
    <w:qFormat/>
    <w:pPr>
      <w:keepNext/>
      <w:spacing w:before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12"/>
    <w:next w:val="TOC1"/>
    <w:pPr>
      <w:keepNext/>
      <w:jc w:val="right"/>
    </w:pPr>
    <w:rPr>
      <w:rFonts w:ascii="Arial" w:hAnsi="Arial"/>
      <w:b/>
    </w:rPr>
  </w:style>
  <w:style w:type="character" w:customStyle="1" w:styleId="HideTWBInt">
    <w:name w:val="HideTWBInt"/>
    <w:rPr>
      <w:vanish/>
      <w:color w:val="808080"/>
    </w:rPr>
  </w:style>
  <w:style w:type="paragraph" w:customStyle="1" w:styleId="TableofEntries">
    <w:name w:val="Table of Entries"/>
    <w:basedOn w:val="Normal12"/>
    <w:pPr>
      <w:widowControl/>
      <w:tabs>
        <w:tab w:val="right" w:leader="dot" w:pos="9072"/>
      </w:tabs>
      <w:jc w:val="both"/>
    </w:pPr>
  </w:style>
  <w:style w:type="paragraph" w:customStyle="1" w:styleId="Normal6">
    <w:name w:val="Normal6"/>
    <w:basedOn w:val="Normal"/>
    <w:pPr>
      <w:spacing w:after="120"/>
    </w:pPr>
  </w:style>
  <w:style w:type="paragraph" w:customStyle="1" w:styleId="PageHeading">
    <w:name w:val="PageHeading"/>
    <w:basedOn w:val="Normal12a12b"/>
    <w:pPr>
      <w:keepNext/>
      <w:jc w:val="center"/>
    </w:pPr>
    <w:rPr>
      <w:rFonts w:ascii="Arial" w:hAnsi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12Bold">
    <w:name w:val="Normal12Bold"/>
    <w:basedOn w:val="Normal12"/>
    <w:rPr>
      <w:b/>
    </w:rPr>
  </w:style>
  <w:style w:type="paragraph" w:customStyle="1" w:styleId="Normal12Italic">
    <w:name w:val="Normal12Italic"/>
    <w:basedOn w:val="Normal12"/>
    <w:rPr>
      <w:i/>
    </w:rPr>
  </w:style>
  <w:style w:type="paragraph" w:customStyle="1" w:styleId="Normal12Hanging">
    <w:name w:val="Normal12Hanging"/>
    <w:basedOn w:val="Normal12"/>
    <w:pPr>
      <w:ind w:left="567" w:hanging="567"/>
    </w:pPr>
  </w:style>
  <w:style w:type="paragraph" w:customStyle="1" w:styleId="CoverBold">
    <w:name w:val="CoverBold"/>
    <w:basedOn w:val="CoverNormal"/>
    <w:rsid w:val="002574AA"/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Normal24">
    <w:name w:val="Normal24"/>
    <w:basedOn w:val="Normal"/>
    <w:pPr>
      <w:spacing w:after="480"/>
    </w:pPr>
  </w:style>
  <w:style w:type="paragraph" w:customStyle="1" w:styleId="Cover12">
    <w:name w:val="Cover12"/>
    <w:basedOn w:val="Normal12"/>
    <w:pPr>
      <w:ind w:left="1418"/>
    </w:pPr>
  </w:style>
  <w:style w:type="paragraph" w:customStyle="1" w:styleId="Cover24">
    <w:name w:val="Cover24"/>
    <w:basedOn w:val="Normal24"/>
    <w:pPr>
      <w:ind w:left="1418"/>
    </w:pPr>
  </w:style>
  <w:style w:type="paragraph" w:customStyle="1" w:styleId="EntPE">
    <w:name w:val="EntPE"/>
    <w:basedOn w:val="Normal12"/>
    <w:pPr>
      <w:jc w:val="center"/>
    </w:pPr>
    <w:rPr>
      <w:sz w:val="56"/>
    </w:rPr>
  </w:style>
  <w:style w:type="paragraph" w:customStyle="1" w:styleId="Hanging12">
    <w:name w:val="Hanging12"/>
    <w:basedOn w:val="Normal12"/>
    <w:pPr>
      <w:tabs>
        <w:tab w:val="left" w:pos="357"/>
      </w:tabs>
      <w:ind w:left="357" w:hanging="357"/>
    </w:pPr>
  </w:style>
  <w:style w:type="paragraph" w:customStyle="1" w:styleId="Normal12a12bBold">
    <w:name w:val="Normal12a12bBold"/>
    <w:basedOn w:val="Normal12a12b"/>
    <w:rPr>
      <w:b/>
    </w:rPr>
  </w:style>
  <w:style w:type="paragraph" w:customStyle="1" w:styleId="Normal12a12bJ">
    <w:name w:val="Normal12a12bJ"/>
    <w:basedOn w:val="Normal12a12b"/>
    <w:pPr>
      <w:jc w:val="both"/>
    </w:pPr>
  </w:style>
  <w:style w:type="paragraph" w:customStyle="1" w:styleId="Normal12a12bKeep">
    <w:name w:val="Normal12a12bKeep"/>
    <w:basedOn w:val="Normal12a12b"/>
    <w:pPr>
      <w:keepNext/>
    </w:pPr>
  </w:style>
  <w:style w:type="paragraph" w:customStyle="1" w:styleId="Normal12BoldKeep">
    <w:name w:val="Normal12BoldKeep"/>
    <w:basedOn w:val="Normal12"/>
    <w:pPr>
      <w:keepNext/>
    </w:pPr>
    <w:rPr>
      <w:b/>
    </w:rPr>
  </w:style>
  <w:style w:type="paragraph" w:customStyle="1" w:styleId="Normal12Centre">
    <w:name w:val="Normal12Centre"/>
    <w:basedOn w:val="Normal12"/>
    <w:pPr>
      <w:jc w:val="center"/>
    </w:pPr>
  </w:style>
  <w:style w:type="paragraph" w:customStyle="1" w:styleId="Normal12ItalicKeep">
    <w:name w:val="Normal12ItalicKeep"/>
    <w:basedOn w:val="Normal12"/>
    <w:pPr>
      <w:keepNext/>
    </w:pPr>
    <w:rPr>
      <w:i/>
    </w:rPr>
  </w:style>
  <w:style w:type="paragraph" w:customStyle="1" w:styleId="Normal12J">
    <w:name w:val="Normal12J"/>
    <w:basedOn w:val="Normal12"/>
    <w:pPr>
      <w:jc w:val="both"/>
    </w:pPr>
  </w:style>
  <w:style w:type="paragraph" w:customStyle="1" w:styleId="Normal12Keep">
    <w:name w:val="Normal12Keep"/>
    <w:basedOn w:val="Normal12"/>
    <w:pPr>
      <w:keepNext/>
    </w:pPr>
  </w:style>
  <w:style w:type="paragraph" w:customStyle="1" w:styleId="Normal12Tab">
    <w:name w:val="Normal12Tab"/>
    <w:basedOn w:val="Normal12"/>
    <w:rsid w:val="001B49A3"/>
    <w:pPr>
      <w:tabs>
        <w:tab w:val="left" w:pos="567"/>
      </w:tabs>
    </w:pPr>
  </w:style>
  <w:style w:type="paragraph" w:customStyle="1" w:styleId="Normal30Keep">
    <w:name w:val="Normal30Keep"/>
    <w:basedOn w:val="Normal"/>
    <w:pPr>
      <w:keepNext/>
      <w:spacing w:after="600"/>
    </w:pPr>
  </w:style>
  <w:style w:type="paragraph" w:customStyle="1" w:styleId="Normal36Bold">
    <w:name w:val="Normal36Bold"/>
    <w:basedOn w:val="Normal"/>
    <w:pPr>
      <w:spacing w:after="720"/>
    </w:pPr>
    <w:rPr>
      <w:b/>
    </w:rPr>
  </w:style>
  <w:style w:type="paragraph" w:customStyle="1" w:styleId="NormalBoldCentre">
    <w:name w:val="NormalBoldCentre"/>
    <w:basedOn w:val="Normal"/>
    <w:pPr>
      <w:jc w:val="center"/>
    </w:pPr>
    <w:rPr>
      <w:b/>
    </w:rPr>
  </w:style>
  <w:style w:type="paragraph" w:customStyle="1" w:styleId="NormalBoldKeep">
    <w:name w:val="NormalBoldKeep"/>
    <w:basedOn w:val="Normal"/>
    <w:pPr>
      <w:keepNext/>
    </w:pPr>
    <w:rPr>
      <w:b/>
    </w:rPr>
  </w:style>
  <w:style w:type="paragraph" w:customStyle="1" w:styleId="NormalCentre">
    <w:name w:val="NormalCentre"/>
    <w:basedOn w:val="Normal"/>
    <w:pPr>
      <w:jc w:val="center"/>
    </w:pPr>
  </w:style>
  <w:style w:type="paragraph" w:customStyle="1" w:styleId="NormalCentreKeep">
    <w:name w:val="NormalCentreKeep"/>
    <w:basedOn w:val="Normal"/>
    <w:pPr>
      <w:keepNext/>
      <w:jc w:val="center"/>
    </w:pPr>
  </w:style>
  <w:style w:type="paragraph" w:customStyle="1" w:styleId="NormalJ">
    <w:name w:val="NormalJ"/>
    <w:basedOn w:val="Normal"/>
    <w:pPr>
      <w:jc w:val="both"/>
    </w:pPr>
  </w:style>
  <w:style w:type="paragraph" w:customStyle="1" w:styleId="NormalKeep">
    <w:name w:val="NormalKeep"/>
    <w:basedOn w:val="Normal"/>
    <w:pPr>
      <w:keepNext/>
    </w:pPr>
  </w:style>
  <w:style w:type="paragraph" w:customStyle="1" w:styleId="TypeDoc">
    <w:name w:val="TypeDoc"/>
    <w:basedOn w:val="Normal24"/>
    <w:pPr>
      <w:ind w:left="1418"/>
    </w:pPr>
    <w:rPr>
      <w:rFonts w:ascii="Arial" w:hAnsi="Arial"/>
      <w:b/>
      <w:sz w:val="48"/>
    </w:rPr>
  </w:style>
  <w:style w:type="paragraph" w:customStyle="1" w:styleId="ZDateRes">
    <w:name w:val="ZDateRes"/>
    <w:basedOn w:val="Normal"/>
    <w:pPr>
      <w:tabs>
        <w:tab w:val="right" w:pos="9072"/>
      </w:tabs>
      <w:spacing w:before="1920" w:after="12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53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SessionDoc">
    <w:name w:val="ZSessionDoc"/>
    <w:basedOn w:val="Normal"/>
    <w:next w:val="Normal"/>
    <w:rsid w:val="00E53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ZSessionDoc"/>
    <w:rsid w:val="00E53167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094DDA"/>
    <w:pPr>
      <w:pBdr>
        <w:bottom w:val="single" w:sz="4" w:space="1" w:color="auto"/>
      </w:pBdr>
      <w:spacing w:after="840"/>
      <w:jc w:val="center"/>
    </w:pPr>
    <w:rPr>
      <w:rFonts w:ascii="Arial" w:hAnsi="Arial"/>
      <w:sz w:val="16"/>
      <w:szCs w:val="16"/>
    </w:rPr>
  </w:style>
  <w:style w:type="paragraph" w:customStyle="1" w:styleId="Normal24Bold">
    <w:name w:val="Normal24Bold"/>
    <w:basedOn w:val="Normal"/>
    <w:rsid w:val="00C23264"/>
    <w:pPr>
      <w:spacing w:after="480"/>
    </w:pPr>
    <w:rPr>
      <w:b/>
    </w:rPr>
  </w:style>
  <w:style w:type="paragraph" w:customStyle="1" w:styleId="EPName">
    <w:name w:val="EPName"/>
    <w:basedOn w:val="Normal"/>
    <w:rsid w:val="00706BC0"/>
    <w:pPr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06BC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06BC0"/>
    <w:pPr>
      <w:jc w:val="right"/>
    </w:pPr>
  </w:style>
  <w:style w:type="paragraph" w:customStyle="1" w:styleId="RefProc">
    <w:name w:val="RefProc"/>
    <w:basedOn w:val="Normal"/>
    <w:rsid w:val="00094DDA"/>
    <w:pPr>
      <w:spacing w:before="240" w:after="240"/>
      <w:jc w:val="right"/>
    </w:pPr>
    <w:rPr>
      <w:rFonts w:ascii="Arial" w:hAnsi="Arial"/>
      <w:b/>
    </w:rPr>
  </w:style>
  <w:style w:type="paragraph" w:customStyle="1" w:styleId="ZDate">
    <w:name w:val="ZDate"/>
    <w:basedOn w:val="Normal"/>
    <w:rsid w:val="00094DDA"/>
    <w:pPr>
      <w:spacing w:after="1200"/>
    </w:pPr>
  </w:style>
  <w:style w:type="paragraph" w:styleId="FootnoteText">
    <w:name w:val="footnote text"/>
    <w:basedOn w:val="Normal"/>
    <w:link w:val="FootnoteTextChar"/>
    <w:rsid w:val="00A57EC0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A57EC0"/>
  </w:style>
  <w:style w:type="character" w:styleId="FootnoteReference">
    <w:name w:val="footnote reference"/>
    <w:basedOn w:val="DefaultParagraphFont"/>
    <w:rsid w:val="00A57EC0"/>
    <w:rPr>
      <w:vertAlign w:val="superscript"/>
    </w:rPr>
  </w:style>
  <w:style w:type="paragraph" w:styleId="BalloonText">
    <w:name w:val="Balloon Text"/>
    <w:basedOn w:val="Normal"/>
    <w:link w:val="BalloonTextChar"/>
    <w:rsid w:val="00A57E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7EC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0B25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25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B25D8"/>
  </w:style>
  <w:style w:type="paragraph" w:styleId="CommentSubject">
    <w:name w:val="annotation subject"/>
    <w:basedOn w:val="CommentText"/>
    <w:next w:val="CommentText"/>
    <w:link w:val="CommentSubjectChar"/>
    <w:rsid w:val="000B25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B25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1445</Words>
  <Characters>10139</Characters>
  <Application>Microsoft Office Word</Application>
  <DocSecurity>0</DocSecurity>
  <Lines>184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RE_Statements</vt:lpstr>
    </vt:vector>
  </TitlesOfParts>
  <Company/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RE_Statements</dc:title>
  <dc:subject/>
  <dc:creator>LUTOVS Vladimirs</dc:creator>
  <cp:keywords/>
  <dc:description/>
  <cp:lastModifiedBy>WOJCIECHOWSKA Joanna</cp:lastModifiedBy>
  <cp:revision>2</cp:revision>
  <cp:lastPrinted>2019-03-07T12:03:00Z</cp:lastPrinted>
  <dcterms:created xsi:type="dcterms:W3CDTF">2019-03-08T13:30:00Z</dcterms:created>
  <dcterms:modified xsi:type="dcterms:W3CDTF">2019-03-08T13:30:00Z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9.5.1 Build [20181101]</vt:lpwstr>
  </property>
  <property fmtid="{D5CDD505-2E9C-101B-9397-08002B2CF9AE}" pid="3" name="LastEdited with">
    <vt:lpwstr>9.5.1 Build [20181101]</vt:lpwstr>
  </property>
  <property fmtid="{D5CDD505-2E9C-101B-9397-08002B2CF9AE}" pid="4" name="&lt;FdR&gt;">
    <vt:lpwstr>1178926</vt:lpwstr>
  </property>
  <property fmtid="{D5CDD505-2E9C-101B-9397-08002B2CF9AE}" pid="5" name="&lt;Type&gt;">
    <vt:lpwstr>RE</vt:lpwstr>
  </property>
  <property fmtid="{D5CDD505-2E9C-101B-9397-08002B2CF9AE}" pid="6" name="&lt;ModelCod&gt;">
    <vt:lpwstr>\\eiciLUXpr1\pdocep$\DocEP\DOCS\General\RE\RE_Statements.dot(06/02/2019 07:45:09)</vt:lpwstr>
  </property>
  <property fmtid="{D5CDD505-2E9C-101B-9397-08002B2CF9AE}" pid="7" name="&lt;ModelTra&gt;">
    <vt:lpwstr>\\eiciLUXpr1\pdocep$\DocEP\TRANSFIL\EN\RE_Statements.EN(05/11/2018 12:05:05)</vt:lpwstr>
  </property>
  <property fmtid="{D5CDD505-2E9C-101B-9397-08002B2CF9AE}" pid="8" name="&lt;Model&gt;">
    <vt:lpwstr>RE_Statements</vt:lpwstr>
  </property>
  <property fmtid="{D5CDD505-2E9C-101B-9397-08002B2CF9AE}" pid="9" name="FooterPath">
    <vt:lpwstr>RE\1178926PL.docx</vt:lpwstr>
  </property>
  <property fmtid="{D5CDD505-2E9C-101B-9397-08002B2CF9AE}" pid="10" name="PE number">
    <vt:lpwstr>635.405</vt:lpwstr>
  </property>
  <property fmtid="{D5CDD505-2E9C-101B-9397-08002B2CF9AE}" pid="11" name="Bookout">
    <vt:lpwstr>OK - 2019/03/08 14:30</vt:lpwstr>
  </property>
  <property fmtid="{D5CDD505-2E9C-101B-9397-08002B2CF9AE}" pid="12" name="SubscribeElise">
    <vt:lpwstr/>
  </property>
  <property fmtid="{D5CDD505-2E9C-101B-9397-08002B2CF9AE}" pid="13" name="SDLStudio">
    <vt:lpwstr/>
  </property>
  <property fmtid="{D5CDD505-2E9C-101B-9397-08002B2CF9AE}" pid="14" name="&lt;Extension&gt;">
    <vt:lpwstr>PL</vt:lpwstr>
  </property>
</Properties>
</file>